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广东省工贸企业二级安全生产标准化建设定级工作实施细则（试行）</w:t>
      </w:r>
    </w:p>
    <w:p>
      <w:pPr>
        <w:keepNext w:val="0"/>
        <w:keepLines w:val="0"/>
        <w:pageBreakBefore w:val="0"/>
        <w:kinsoku/>
        <w:wordWrap/>
        <w:topLinePunct w:val="0"/>
        <w:autoSpaceDE/>
        <w:autoSpaceDN/>
        <w:bidi w:val="0"/>
        <w:spacing w:afterLines="0" w:line="560" w:lineRule="exact"/>
        <w:ind w:firstLine="640" w:firstLineChars="200"/>
        <w:jc w:val="left"/>
        <w:textAlignment w:val="auto"/>
        <w:rPr>
          <w:rFonts w:hint="eastAsia" w:ascii="宋体" w:hAnsi="宋体" w:eastAsia="宋体" w:cs="宋体"/>
          <w:color w:val="auto"/>
          <w:sz w:val="32"/>
          <w:szCs w:val="32"/>
          <w:highlight w:val="none"/>
          <w:lang w:eastAsia="zh-CN"/>
        </w:rPr>
      </w:pP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一、总则</w:t>
      </w:r>
    </w:p>
    <w:p>
      <w:pPr>
        <w:keepNext w:val="0"/>
        <w:keepLines w:val="0"/>
        <w:pageBreakBefore w:val="0"/>
        <w:widowControl/>
        <w:suppressLineNumbers w:val="0"/>
        <w:kinsoku/>
        <w:wordWrap/>
        <w:topLinePunct w:val="0"/>
        <w:autoSpaceDE/>
        <w:autoSpaceDN/>
        <w:bidi w:val="0"/>
        <w:spacing w:afterLines="0" w:line="560" w:lineRule="exact"/>
        <w:ind w:firstLine="642"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第一条</w:t>
      </w:r>
      <w:r>
        <w:rPr>
          <w:rFonts w:hint="eastAsia" w:ascii="仿宋" w:hAnsi="仿宋" w:eastAsia="仿宋" w:cs="仿宋"/>
          <w:color w:val="auto"/>
          <w:kern w:val="2"/>
          <w:sz w:val="32"/>
          <w:szCs w:val="32"/>
          <w:highlight w:val="none"/>
          <w:lang w:val="en-US" w:eastAsia="zh-CN" w:bidi="ar-SA"/>
        </w:rPr>
        <w:t xml:space="preserve"> 为提升我省工贸企业二级安全生产标准化建设及运行质量，推动安全生产标准化工作规范有序开展，依据《广东省应急管理厅关于印发&lt;广东省应急管理厅企业安全生产标准化建设定级管理办法&gt;的通知》（粤应急规〔2022〕2号，以下简称《管理办法》）及相关法规、标准的规定，制定本实施细则。</w:t>
      </w:r>
    </w:p>
    <w:p>
      <w:pPr>
        <w:keepNext w:val="0"/>
        <w:keepLines w:val="0"/>
        <w:pageBreakBefore w:val="0"/>
        <w:widowControl/>
        <w:suppressLineNumbers w:val="0"/>
        <w:kinsoku/>
        <w:wordWrap/>
        <w:topLinePunct w:val="0"/>
        <w:autoSpaceDE/>
        <w:autoSpaceDN/>
        <w:bidi w:val="0"/>
        <w:spacing w:afterLines="0" w:line="560" w:lineRule="exact"/>
        <w:ind w:firstLine="642"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本实施细则适用于广东省内冶金、有色、建材、机械、轻工、纺织、烟草、商贸等工贸企业（以下统称企业）的二级安全生产标准化建设定级工作。</w:t>
      </w:r>
    </w:p>
    <w:p>
      <w:pPr>
        <w:keepNext w:val="0"/>
        <w:keepLines w:val="0"/>
        <w:pageBreakBefore w:val="0"/>
        <w:widowControl/>
        <w:suppressLineNumbers w:val="0"/>
        <w:kinsoku/>
        <w:wordWrap/>
        <w:topLinePunct w:val="0"/>
        <w:autoSpaceDE/>
        <w:autoSpaceDN/>
        <w:bidi w:val="0"/>
        <w:spacing w:afterLines="0" w:line="560" w:lineRule="exact"/>
        <w:ind w:firstLine="642"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 xml:space="preserve">第三条 </w:t>
      </w:r>
      <w:r>
        <w:rPr>
          <w:rFonts w:hint="eastAsia" w:ascii="宋体" w:hAnsi="宋体" w:eastAsia="宋体" w:cs="宋体"/>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广东省应急管理服务协会是工贸企业二级安全生产标准化建设定级组织单位，负责受理和审核企业定级申请资料、对评审技术人员进行考核和管理、监督现场评审过程和质量、抽样现场复核、开展年度抽查、标准化信息管理系统数据维护、档案管理和标准化行业自律管理等具体工作。</w:t>
      </w:r>
    </w:p>
    <w:p>
      <w:pPr>
        <w:keepNext w:val="0"/>
        <w:keepLines w:val="0"/>
        <w:pageBreakBefore w:val="0"/>
        <w:widowControl/>
        <w:kinsoku/>
        <w:wordWrap/>
        <w:topLinePunct w:val="0"/>
        <w:autoSpaceDE/>
        <w:autoSpaceDN/>
        <w:bidi w:val="0"/>
        <w:spacing w:afterLines="0" w:line="560" w:lineRule="exact"/>
        <w:ind w:firstLine="642"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第四条</w:t>
      </w:r>
      <w:r>
        <w:rPr>
          <w:rFonts w:hint="eastAsia" w:ascii="宋体" w:hAnsi="宋体" w:eastAsia="宋体" w:cs="宋体"/>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负责现场评审的单位由省应急管理厅确定，</w:t>
      </w:r>
      <w:r>
        <w:rPr>
          <w:rFonts w:ascii="仿宋" w:hAnsi="仿宋" w:eastAsia="仿宋" w:cs="仿宋"/>
          <w:color w:val="auto"/>
          <w:kern w:val="0"/>
          <w:sz w:val="32"/>
          <w:szCs w:val="32"/>
          <w:highlight w:val="none"/>
          <w:lang w:val="en-US" w:eastAsia="zh-CN" w:bidi="ar"/>
        </w:rPr>
        <w:t>主要承担申报企业的现场评审</w:t>
      </w:r>
      <w:r>
        <w:rPr>
          <w:rFonts w:hint="eastAsia" w:ascii="仿宋" w:hAnsi="仿宋" w:eastAsia="仿宋" w:cs="仿宋"/>
          <w:color w:val="auto"/>
          <w:kern w:val="0"/>
          <w:sz w:val="32"/>
          <w:szCs w:val="32"/>
          <w:highlight w:val="none"/>
          <w:lang w:val="en-US" w:eastAsia="zh-CN" w:bidi="ar"/>
        </w:rPr>
        <w:t>工作，</w:t>
      </w:r>
      <w:r>
        <w:rPr>
          <w:rFonts w:hint="eastAsia" w:ascii="仿宋" w:hAnsi="仿宋" w:eastAsia="仿宋" w:cs="仿宋"/>
          <w:color w:val="auto"/>
          <w:kern w:val="2"/>
          <w:sz w:val="32"/>
          <w:szCs w:val="32"/>
          <w:highlight w:val="none"/>
          <w:lang w:val="en-US" w:eastAsia="zh-CN" w:bidi="ar-SA"/>
        </w:rPr>
        <w:t>负责本单位承担的评审资料存档，包括评审通知、评审计划、评审记录、现场评审报告、企业整改情况报告等。</w:t>
      </w:r>
    </w:p>
    <w:p>
      <w:pPr>
        <w:keepNext w:val="0"/>
        <w:keepLines w:val="0"/>
        <w:pageBreakBefore w:val="0"/>
        <w:kinsoku/>
        <w:wordWrap/>
        <w:topLinePunct w:val="0"/>
        <w:autoSpaceDE/>
        <w:autoSpaceDN/>
        <w:bidi w:val="0"/>
        <w:spacing w:afterLines="0" w:line="560" w:lineRule="exact"/>
        <w:ind w:firstLine="640" w:firstLineChars="20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二、企业标准化建设</w:t>
      </w:r>
    </w:p>
    <w:p>
      <w:pPr>
        <w:keepNext w:val="0"/>
        <w:keepLines w:val="0"/>
        <w:pageBreakBefore w:val="0"/>
        <w:kinsoku/>
        <w:wordWrap/>
        <w:topLinePunct w:val="0"/>
        <w:autoSpaceDE/>
        <w:autoSpaceDN/>
        <w:bidi w:val="0"/>
        <w:spacing w:afterLines="0" w:line="560" w:lineRule="exact"/>
        <w:ind w:firstLine="642" w:firstLineChars="200"/>
        <w:jc w:val="lef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第五条</w:t>
      </w:r>
      <w:r>
        <w:rPr>
          <w:rFonts w:hint="eastAsia" w:ascii="仿宋" w:hAnsi="仿宋" w:eastAsia="仿宋" w:cs="仿宋"/>
          <w:color w:val="auto"/>
          <w:kern w:val="2"/>
          <w:sz w:val="32"/>
          <w:szCs w:val="32"/>
          <w:highlight w:val="none"/>
          <w:lang w:val="en-US" w:eastAsia="zh-CN" w:bidi="ar-SA"/>
        </w:rPr>
        <w:t xml:space="preserve"> 企业应当按照有关法律、法规、规章、标准和我省有关规定，结合企业自身生产工艺、安全风险等，建立适合本企业的安全生产标准化管理体系，实现安全管理、操作行为、设备设施、作业环境的标准化体系创建并保持有效运行，持续改进，强化企业安全生产标准化的实效性。</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第六条</w:t>
      </w:r>
      <w:r>
        <w:rPr>
          <w:rFonts w:hint="eastAsia" w:ascii="仿宋" w:hAnsi="仿宋" w:eastAsia="仿宋" w:cs="仿宋"/>
          <w:color w:val="auto"/>
          <w:kern w:val="2"/>
          <w:sz w:val="32"/>
          <w:szCs w:val="32"/>
          <w:highlight w:val="none"/>
          <w:lang w:val="en-US" w:eastAsia="zh-CN" w:bidi="ar-SA"/>
        </w:rPr>
        <w:t xml:space="preserve"> 企业自愿申请工贸企业二级安全生产标准化定级。鼓励安全管理基础较好的工贸企业开展二级标准化创建工作，以此改善安全生产条件，提升安全管理水平和事故防范能力。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有意愿建设标准化的企业需于每年9月30日前向定级组织单位报送下一年的建设计划（附件1）。</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第七条</w:t>
      </w:r>
      <w:r>
        <w:rPr>
          <w:rFonts w:hint="eastAsia" w:ascii="仿宋" w:hAnsi="仿宋" w:eastAsia="仿宋" w:cs="仿宋"/>
          <w:color w:val="auto"/>
          <w:kern w:val="2"/>
          <w:sz w:val="32"/>
          <w:szCs w:val="32"/>
          <w:highlight w:val="none"/>
          <w:lang w:val="en-US" w:eastAsia="zh-CN" w:bidi="ar-SA"/>
        </w:rPr>
        <w:t xml:space="preserve"> 企业标准化建设以自主建设为主，也可聘请从事安全生产相关工作的第三方技术服务单位咨询、辅导建设标准化体系。</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事企业标准化建设咨询、辅导的第三方技术服务机构应严格按照法律法规和标准规范的要求，切实为企业标准化建设提供技术支撑，不得“一手包办”为企业建设标准化体系，严厉禁止“走过场”、“形式化”的不良行为。</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三、自评与申请 </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第八条 </w:t>
      </w:r>
      <w:r>
        <w:rPr>
          <w:rFonts w:hint="eastAsia" w:ascii="仿宋" w:hAnsi="仿宋" w:eastAsia="仿宋" w:cs="仿宋"/>
          <w:b w:val="0"/>
          <w:bCs w:val="0"/>
          <w:color w:val="auto"/>
          <w:kern w:val="2"/>
          <w:sz w:val="32"/>
          <w:szCs w:val="32"/>
          <w:highlight w:val="none"/>
          <w:lang w:val="en-US" w:eastAsia="zh-CN" w:bidi="ar-SA"/>
        </w:rPr>
        <w:t>自评。</w:t>
      </w:r>
      <w:r>
        <w:rPr>
          <w:rFonts w:hint="eastAsia" w:ascii="仿宋" w:hAnsi="仿宋" w:eastAsia="仿宋" w:cs="仿宋"/>
          <w:color w:val="auto"/>
          <w:kern w:val="2"/>
          <w:sz w:val="32"/>
          <w:szCs w:val="32"/>
          <w:highlight w:val="none"/>
          <w:lang w:val="en-US" w:eastAsia="zh-CN" w:bidi="ar-SA"/>
        </w:rPr>
        <w:t>企业开展标准化建设须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对照相应评定标准每年至少开展一次自评工作，并形成书面自评报告，在企业内部公示不少于10个工作日，及时整改发现的问题，持续改进安全绩效。</w:t>
      </w:r>
    </w:p>
    <w:p>
      <w:pPr>
        <w:pStyle w:val="6"/>
        <w:keepNext w:val="0"/>
        <w:keepLines w:val="0"/>
        <w:pageBreakBefore w:val="0"/>
        <w:widowControl w:val="0"/>
        <w:kinsoku/>
        <w:wordWrap w:val="0"/>
        <w:overflowPunct w:val="0"/>
        <w:topLinePunct w:val="0"/>
        <w:autoSpaceDE/>
        <w:autoSpaceDN/>
        <w:bidi w:val="0"/>
        <w:adjustRightInd/>
        <w:snapToGrid/>
        <w:spacing w:after="0" w:afterLines="0" w:line="560" w:lineRule="exact"/>
        <w:ind w:left="0" w:leftChars="0" w:firstLine="642"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第九条 </w:t>
      </w:r>
      <w:r>
        <w:rPr>
          <w:rFonts w:hint="eastAsia" w:ascii="仿宋" w:hAnsi="仿宋" w:eastAsia="仿宋" w:cs="仿宋"/>
          <w:b w:val="0"/>
          <w:bCs w:val="0"/>
          <w:color w:val="auto"/>
          <w:kern w:val="2"/>
          <w:sz w:val="32"/>
          <w:szCs w:val="32"/>
          <w:highlight w:val="none"/>
          <w:lang w:val="en-US" w:eastAsia="zh-CN" w:bidi="ar-SA"/>
        </w:rPr>
        <w:t>申请。</w:t>
      </w:r>
      <w:r>
        <w:rPr>
          <w:rFonts w:hint="eastAsia" w:ascii="仿宋" w:hAnsi="仿宋" w:eastAsia="仿宋" w:cs="仿宋"/>
          <w:color w:val="auto"/>
          <w:kern w:val="2"/>
          <w:sz w:val="32"/>
          <w:szCs w:val="32"/>
          <w:highlight w:val="none"/>
          <w:lang w:val="en-US" w:eastAsia="zh-CN" w:bidi="ar-SA"/>
        </w:rPr>
        <w:t xml:space="preserve"> 申请定级的企业向定级组织单位提交申请材料，同时将自评报告上传至应急管理部安全生产标准化信息管理系统（https://aqjg.mem.gov.cn/appjjcjyjg/bzhxt/）。</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企业提交的申请材料应当完整、清楚，不得涂改，复印件、影印件应当清晰。申请单位对所提交申请材料的真实性负责。</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第十条</w:t>
      </w:r>
      <w:r>
        <w:rPr>
          <w:rFonts w:hint="eastAsia" w:ascii="仿宋" w:hAnsi="仿宋" w:eastAsia="仿宋" w:cs="仿宋"/>
          <w:color w:val="auto"/>
          <w:kern w:val="2"/>
          <w:sz w:val="32"/>
          <w:szCs w:val="32"/>
          <w:highlight w:val="none"/>
          <w:lang w:val="en-US" w:eastAsia="zh-CN" w:bidi="ar-SA"/>
        </w:rPr>
        <w:t xml:space="preserve"> 申请材料审核。定级组织单位自收到企业申请材料起10个工作日内完成材料的审核、报送和告知工作，并根据申请材料情况分别作出如下处理：</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（一）申请材料内容存在错误、不齐全或者不符合规定形式的，在5个工作日内一次书面告知企业需要补正的全部内容；逾期不告知的，自收到申请材料之日起即为受理；</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宋体" w:hAnsi="宋体" w:eastAsia="宋体" w:cs="宋体"/>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申请材料内容齐全、符合规定形式，或者企业按照要求补正全部内容后，对申请材料逐项进行审核。对符合申请条件的，将相关资料及审核意见表（附件2）报送省应急管理厅，并书面告知企业；对不符合申请条件的，书面告知企业并说明理由。</w:t>
      </w:r>
    </w:p>
    <w:p>
      <w:pPr>
        <w:keepNext w:val="0"/>
        <w:keepLines w:val="0"/>
        <w:pageBreakBefore w:val="0"/>
        <w:widowControl/>
        <w:suppressLineNumbers w:val="0"/>
        <w:kinsoku/>
        <w:wordWrap/>
        <w:topLinePunct w:val="0"/>
        <w:autoSpaceDE/>
        <w:autoSpaceDN/>
        <w:bidi w:val="0"/>
        <w:spacing w:afterLines="0" w:line="560" w:lineRule="exact"/>
        <w:ind w:firstLine="640" w:firstLineChars="200"/>
        <w:jc w:val="center"/>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四、评审、公示和公告</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第十一条</w:t>
      </w:r>
      <w:r>
        <w:rPr>
          <w:rFonts w:hint="eastAsia" w:ascii="仿宋" w:hAnsi="仿宋" w:eastAsia="仿宋" w:cs="仿宋"/>
          <w:color w:val="auto"/>
          <w:kern w:val="2"/>
          <w:sz w:val="32"/>
          <w:szCs w:val="32"/>
          <w:highlight w:val="none"/>
          <w:lang w:val="en-US" w:eastAsia="zh-CN" w:bidi="ar-SA"/>
        </w:rPr>
        <w:t xml:space="preserve"> 现场评审。经省应急管理厅对企业申报情况确认后，定级组织单位通过随机方式派选负责现场评审的单位，通知负责现场评审的单位成立现场评审组并在20个工作日内完成现场评审工作（含出具现场评审报告）。具体现场评审程序和内容如下：</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（一）成立现场评审组。负责现场评审的单位接受评审任务后，应当根据申请企业所属行业、生产工艺等，成立现场评审组，指定现场评审组组长，现场评审组的人员组成应当满足评审需要的专业能力。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报送评审计划。负责现场评审的单位根据企业行业类别、规模等实际情况制定切实可行的评审计划，包括现场评审时间、评审组成员（至少3名以上）、评审工作内容等基本情况，填写评审计划表（附件3），并报送至定级组织单位。</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现场评审。负责现场的评审单位按照评审计划对企业进行现场评审，现场评审内容应严格对照评审标准开展，评审技术人员应严格遵守评审纪律、廉洁奉公，负责现场评审的的单位和评审技术人员不得出现收取企业费用、红包或礼品、违反评审程序、错评或漏评、出具虚假评审报告、不到现场参与评审工作等违规行为。现场评审技术人员配置可参考《工贸企业二级安全生产标准化负责现场评审的单位评审技术人员专业能力配备标准》（附件4）。</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（四）出具现场评审报告。现场评审完成后，负责现场评审的单位将现场评审情况及不符合项等形成现场评审报告，评审组成员在评审报告上签字，初步确定企业是否达到拟申请的等级，并书面告知企业。</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企业整改。企业收到现场评审报告后，应当在20个工作日内完成不符合项整改工作，并将整改情况报告现场评审组。特殊情况下，经定级组织单位批准，整改期限可以适当延长，但延长的期限最长不超过20个工作日。</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负责现场评审的单位复核企业整改情况。现场评审组负责指导企业做好整改工作，并在收到企业整改情况报告后10个工作日内采取书面检查或者现场复核的方式，确认整改是否合格，书面告知企业和定级组织单位。企业未在规定期限内完成整改的，视为整改不合格。</w:t>
      </w:r>
    </w:p>
    <w:p>
      <w:pPr>
        <w:keepNext w:val="0"/>
        <w:keepLines w:val="0"/>
        <w:pageBreakBefore w:val="0"/>
        <w:widowControl/>
        <w:kinsoku/>
        <w:wordWrap/>
        <w:overflowPunct w:val="0"/>
        <w:topLinePunct w:val="0"/>
        <w:autoSpaceDE/>
        <w:autoSpaceDN/>
        <w:bidi w:val="0"/>
        <w:spacing w:after="0" w:afterLines="0" w:line="560" w:lineRule="exact"/>
        <w:ind w:left="0" w:leftChars="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（七）提交</w:t>
      </w:r>
      <w:r>
        <w:rPr>
          <w:rFonts w:ascii="仿宋" w:hAnsi="仿宋" w:eastAsia="仿宋" w:cs="仿宋"/>
          <w:color w:val="auto"/>
          <w:kern w:val="0"/>
          <w:sz w:val="32"/>
          <w:szCs w:val="32"/>
          <w:highlight w:val="none"/>
          <w:lang w:val="en-US" w:eastAsia="zh-CN" w:bidi="ar"/>
        </w:rPr>
        <w:t>现</w:t>
      </w:r>
      <w:r>
        <w:rPr>
          <w:rFonts w:hint="eastAsia" w:ascii="仿宋" w:hAnsi="仿宋" w:eastAsia="仿宋" w:cs="仿宋"/>
          <w:color w:val="auto"/>
          <w:kern w:val="0"/>
          <w:sz w:val="32"/>
          <w:szCs w:val="32"/>
          <w:highlight w:val="none"/>
          <w:lang w:val="en-US" w:eastAsia="zh-CN" w:bidi="ar"/>
        </w:rPr>
        <w:t>场评审报告及企业整改情况</w:t>
      </w:r>
      <w:r>
        <w:rPr>
          <w:rFonts w:hint="eastAsia" w:ascii="仿宋" w:hAnsi="仿宋" w:eastAsia="仿宋" w:cs="仿宋"/>
          <w:color w:val="auto"/>
          <w:kern w:val="2"/>
          <w:sz w:val="32"/>
          <w:szCs w:val="32"/>
          <w:highlight w:val="none"/>
          <w:lang w:val="en-US" w:eastAsia="zh-CN" w:bidi="ar-SA"/>
        </w:rPr>
        <w:t>。现场评审报告经负责现场评审的单位负责人审批，并在书面告知企业整改合格后5个工作日内提交至定级组织单位。</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第十二条</w:t>
      </w:r>
      <w:r>
        <w:rPr>
          <w:rFonts w:hint="eastAsia" w:ascii="仿宋" w:hAnsi="仿宋" w:eastAsia="仿宋" w:cs="仿宋"/>
          <w:color w:val="auto"/>
          <w:kern w:val="2"/>
          <w:sz w:val="32"/>
          <w:szCs w:val="32"/>
          <w:highlight w:val="none"/>
          <w:lang w:val="en-US" w:eastAsia="zh-CN" w:bidi="ar-SA"/>
        </w:rPr>
        <w:t xml:space="preserve"> 现场评审报告的审核。定级组织单位收到负责现场评审的单位提交的现场评审报告及企业整改情况后，在10个工作日内对报告进行审查。经审查现场评审报告内容不齐全、错漏或者不符合规定形式的，定级组织单位退回负责现场评审的单位并说明理由。负责现场评审的单位应当在15个工作日内修改完善，重新提交。</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负责现场评审的单位未在规定期限内修改完善并提交现场评审报告的，则由定级组织单位暂停派发新的现场评审任务。</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第十三条</w:t>
      </w:r>
      <w:r>
        <w:rPr>
          <w:rFonts w:hint="eastAsia" w:ascii="仿宋" w:hAnsi="仿宋" w:eastAsia="仿宋" w:cs="仿宋"/>
          <w:color w:val="auto"/>
          <w:kern w:val="2"/>
          <w:sz w:val="32"/>
          <w:szCs w:val="32"/>
          <w:highlight w:val="none"/>
          <w:lang w:val="en-US" w:eastAsia="zh-CN" w:bidi="ar-SA"/>
        </w:rPr>
        <w:t xml:space="preserve">  出具企业定级意见。定级组织单位根据现场评审和企业整改情况情况出具企业定级是否达标的审查意见书（附件5）,并定期报送至省应急管理厅。</w:t>
      </w:r>
    </w:p>
    <w:p>
      <w:pPr>
        <w:keepNext w:val="0"/>
        <w:keepLines w:val="0"/>
        <w:widowControl/>
        <w:suppressLineNumbers w:val="0"/>
        <w:spacing w:afterLines="0" w:line="560" w:lineRule="exact"/>
        <w:ind w:firstLine="642"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第十四条</w:t>
      </w:r>
      <w:r>
        <w:rPr>
          <w:rFonts w:hint="eastAsia" w:ascii="仿宋" w:hAnsi="仿宋" w:eastAsia="仿宋" w:cs="仿宋"/>
          <w:color w:val="auto"/>
          <w:kern w:val="2"/>
          <w:sz w:val="32"/>
          <w:szCs w:val="32"/>
          <w:highlight w:val="none"/>
          <w:lang w:val="en-US" w:eastAsia="zh-CN" w:bidi="ar-SA"/>
        </w:rPr>
        <w:t xml:space="preserve">  公示和公告。</w:t>
      </w:r>
      <w:r>
        <w:rPr>
          <w:rFonts w:ascii="仿宋" w:hAnsi="仿宋" w:eastAsia="仿宋" w:cs="仿宋"/>
          <w:color w:val="auto"/>
          <w:kern w:val="0"/>
          <w:sz w:val="32"/>
          <w:szCs w:val="32"/>
          <w:highlight w:val="none"/>
          <w:lang w:val="en-US" w:eastAsia="zh-CN" w:bidi="ar"/>
        </w:rPr>
        <w:t>定级组织单位将确认整改合格、符合相应</w:t>
      </w:r>
      <w:r>
        <w:rPr>
          <w:rFonts w:hint="eastAsia" w:ascii="仿宋" w:hAnsi="仿宋" w:eastAsia="仿宋" w:cs="仿宋"/>
          <w:color w:val="auto"/>
          <w:kern w:val="0"/>
          <w:sz w:val="32"/>
          <w:szCs w:val="32"/>
          <w:highlight w:val="none"/>
          <w:lang w:val="en-US" w:eastAsia="zh-CN" w:bidi="ar"/>
        </w:rPr>
        <w:t>定级标准的企业名单及审查意见书定期报送至省应急管理厅</w:t>
      </w:r>
      <w:r>
        <w:rPr>
          <w:rFonts w:hint="eastAsia" w:eastAsia="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省应急管理厅确认后，</w:t>
      </w:r>
      <w:r>
        <w:rPr>
          <w:rFonts w:hint="eastAsia" w:ascii="仿宋" w:hAnsi="仿宋" w:eastAsia="仿宋" w:cs="仿宋"/>
          <w:color w:val="auto"/>
          <w:kern w:val="2"/>
          <w:sz w:val="32"/>
          <w:szCs w:val="32"/>
          <w:highlight w:val="none"/>
          <w:lang w:val="en-US" w:eastAsia="zh-CN" w:bidi="ar-SA"/>
        </w:rPr>
        <w:t>在本级政府或者本部门网站向社会公示，接受社会监督，公示时间不少于7个工作日。对公示无异议或者经核实不存在所反映问题的企业，省应急管理厅确认其等级，予以公告，并抄送同级工业和信息化、人力资源社会保障、国有资产监督管理、市场监督管理等部门和工会组织，以及相应银行保险和证券监督管理机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五、再次申请</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第十五条</w:t>
      </w:r>
      <w:r>
        <w:rPr>
          <w:rFonts w:hint="eastAsia" w:ascii="仿宋" w:hAnsi="仿宋" w:eastAsia="仿宋" w:cs="仿宋"/>
          <w:color w:val="auto"/>
          <w:kern w:val="2"/>
          <w:sz w:val="32"/>
          <w:szCs w:val="32"/>
          <w:highlight w:val="none"/>
          <w:lang w:val="en-US" w:eastAsia="zh-CN" w:bidi="ar-SA"/>
        </w:rPr>
        <w:t xml:space="preserve">  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第十六条</w:t>
      </w:r>
      <w:r>
        <w:rPr>
          <w:rFonts w:hint="eastAsia" w:ascii="仿宋" w:hAnsi="仿宋" w:eastAsia="仿宋" w:cs="仿宋"/>
          <w:color w:val="auto"/>
          <w:kern w:val="2"/>
          <w:sz w:val="32"/>
          <w:szCs w:val="32"/>
          <w:highlight w:val="none"/>
          <w:lang w:val="en-US" w:eastAsia="zh-CN" w:bidi="ar-SA"/>
        </w:rPr>
        <w:t xml:space="preserve">  再次申请原等级的企业，在标准化等级有效期内符合条件的，将申请材料报送至定级组织单位，经省应急管理厅组织定级组织单位现场复核确认后，直接予以公示和公告。</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六、评审监督和抽查</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第十七条 </w:t>
      </w:r>
      <w:r>
        <w:rPr>
          <w:rFonts w:hint="eastAsia" w:ascii="仿宋" w:hAnsi="仿宋" w:eastAsia="仿宋" w:cs="仿宋"/>
          <w:color w:val="auto"/>
          <w:kern w:val="2"/>
          <w:sz w:val="32"/>
          <w:szCs w:val="32"/>
          <w:highlight w:val="none"/>
          <w:lang w:val="en-US" w:eastAsia="zh-CN" w:bidi="ar-SA"/>
        </w:rPr>
        <w:t xml:space="preserve"> 在负责现场评审的单位开展现场评审工作时，定级组织单位可视情况派员监督现场评审工作。监督员主要监督负责现场评审的单位评审流程、评审质量等，并如实反馈现场评审监督情况。</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第十八条</w:t>
      </w:r>
      <w:r>
        <w:rPr>
          <w:rFonts w:hint="eastAsia" w:ascii="仿宋" w:hAnsi="仿宋" w:eastAsia="仿宋" w:cs="仿宋"/>
          <w:color w:val="auto"/>
          <w:kern w:val="2"/>
          <w:sz w:val="32"/>
          <w:szCs w:val="32"/>
          <w:highlight w:val="none"/>
          <w:lang w:val="en-US" w:eastAsia="zh-CN" w:bidi="ar-SA"/>
        </w:rPr>
        <w:t xml:space="preserve">  在负责现场评审的单位完成现场评审工作后，定级组织单位按高危行业不少于30%、其它行业不少于20%的比例进行企业现场复核。对在其他检查中出现问题较多或存在重大生产安全事故隐患的企业必须纳入现场复核范围。现场复核的重点包括负责现场评审的单位的评审程序、现场评审报告与现场情况的一致性、有无重大事故隐患和违法违规行为等。</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第十九条  </w:t>
      </w:r>
      <w:r>
        <w:rPr>
          <w:rFonts w:hint="eastAsia" w:ascii="仿宋" w:hAnsi="仿宋" w:eastAsia="仿宋" w:cs="仿宋"/>
          <w:color w:val="auto"/>
          <w:kern w:val="2"/>
          <w:sz w:val="32"/>
          <w:szCs w:val="32"/>
          <w:highlight w:val="none"/>
          <w:lang w:val="en-US" w:eastAsia="zh-CN" w:bidi="ar-SA"/>
        </w:rPr>
        <w:t>现场复核发现负责现场评审的单位未严格履行评审程序、现场评审报告未如实反映企业真实情况、评审技术人员专业能力不能满足评审要求等情形的，定级组织单位重新确定评审是否通过，并应当向省应急管理厅报告。</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对已经取得定级等级的企业，定级组织单位根据实际情况对企业安全生产标准化保持和运行情况进行抽查，对于抽查中发现的各项问题反馈至企业进行整改，若企业安全生产管理现状已无法达到二级安全生产标准化条件，定级组织单位提请省应急管理厅撤销其等级。</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七、行业自律管理</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default" w:ascii="仿宋" w:hAnsi="仿宋" w:cs="仿宋" w:eastAsiaTheme="minorEastAsia"/>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第二十一条 </w:t>
      </w:r>
      <w:r>
        <w:rPr>
          <w:rFonts w:hint="eastAsia" w:ascii="仿宋" w:hAnsi="仿宋" w:eastAsia="仿宋" w:cs="仿宋"/>
          <w:color w:val="auto"/>
          <w:kern w:val="2"/>
          <w:sz w:val="32"/>
          <w:szCs w:val="32"/>
          <w:highlight w:val="none"/>
          <w:lang w:val="en-US" w:eastAsia="zh-CN" w:bidi="ar-SA"/>
        </w:rPr>
        <w:t>鼓励企业开展标准化建设，标准化等级企业应当保持其安全生产标准化管理体系持续、有效运行，不断提高安全生产水平。</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第二十二条 </w:t>
      </w:r>
      <w:r>
        <w:rPr>
          <w:rFonts w:hint="eastAsia" w:ascii="仿宋" w:hAnsi="仿宋" w:eastAsia="仿宋" w:cs="仿宋"/>
          <w:color w:val="auto"/>
          <w:kern w:val="2"/>
          <w:sz w:val="32"/>
          <w:szCs w:val="32"/>
          <w:highlight w:val="none"/>
          <w:lang w:val="en-US" w:eastAsia="zh-CN" w:bidi="ar-SA"/>
        </w:rPr>
        <w:t xml:space="preserve"> 负责现场评审的单位和从事企业标准化建设咨询、辅导的第三方技术服务单位应自觉参与行业自律管理，遵守和履行《广东省安全生产专业服务机构行业自律公约》；加强对标准化现场评审和相关咨询工作的日常管理，强化评审和咨询服务质量控制，增强评审技术人员和咨询人员责任意识，不断提升机构及其从业人员技术能力。</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第二十三条</w:t>
      </w:r>
      <w:r>
        <w:rPr>
          <w:rFonts w:hint="eastAsia" w:ascii="仿宋" w:hAnsi="仿宋" w:eastAsia="仿宋" w:cs="仿宋"/>
          <w:color w:val="auto"/>
          <w:kern w:val="2"/>
          <w:sz w:val="32"/>
          <w:szCs w:val="32"/>
          <w:highlight w:val="none"/>
          <w:lang w:val="en-US" w:eastAsia="zh-CN" w:bidi="ar-SA"/>
        </w:rPr>
        <w:t xml:space="preserve">  定级组织单位对负责现场评审的单位及其评审技术人员进行行业自律管理，在监督评审和抽查过程中发现负责现场评审的单位存在以下行为的，依据行业自律管理公约对其进行处理，并将有关违法违规情况报送至省应急管理厅：</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（一）出具失实或虚假现场评审报告的，且造成重大损失的；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（二）评审技术人员不到现场参与评审工作的；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（三）评审技术人员专业能力未能涵盖评审行业专业领域仍开展评审业务的；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（四）现场评审工作未按照评审标准开展，走过场、形式化的；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（五）负责现场评审的单位及其人员参与被评审企业的标准化培训、咨询相关工作，或存在收取企业费用的；</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jc w:val="center"/>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八、附则</w:t>
      </w:r>
    </w:p>
    <w:p>
      <w:pPr>
        <w:pStyle w:val="6"/>
        <w:keepNext w:val="0"/>
        <w:keepLines w:val="0"/>
        <w:pageBreakBefore w:val="0"/>
        <w:kinsoku/>
        <w:wordWrap/>
        <w:overflowPunct w:val="0"/>
        <w:topLinePunct w:val="0"/>
        <w:autoSpaceDE/>
        <w:autoSpaceDN/>
        <w:bidi w:val="0"/>
        <w:spacing w:after="0" w:afterLines="0" w:line="560" w:lineRule="exact"/>
        <w:ind w:left="0" w:leftChars="0" w:firstLine="642"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第二十四条</w:t>
      </w:r>
      <w:r>
        <w:rPr>
          <w:rFonts w:hint="eastAsia" w:ascii="仿宋" w:hAnsi="仿宋" w:eastAsia="仿宋" w:cs="仿宋"/>
          <w:color w:val="auto"/>
          <w:kern w:val="2"/>
          <w:sz w:val="32"/>
          <w:szCs w:val="32"/>
          <w:highlight w:val="none"/>
          <w:lang w:val="en-US" w:eastAsia="zh-CN" w:bidi="ar-SA"/>
        </w:rPr>
        <w:t xml:space="preserve">  本实施细则由广东省应急管理服务协会负责解释，自发布之日起施行。</w:t>
      </w: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p>
    <w:p>
      <w:pPr>
        <w:pStyle w:val="6"/>
        <w:keepNext w:val="0"/>
        <w:keepLines w:val="0"/>
        <w:pageBreakBefore w:val="0"/>
        <w:kinsoku/>
        <w:wordWrap/>
        <w:overflowPunct w:val="0"/>
        <w:topLinePunct w:val="0"/>
        <w:autoSpaceDE/>
        <w:autoSpaceDN/>
        <w:bidi w:val="0"/>
        <w:spacing w:after="0" w:afterLines="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附件：1.企业意向建设安全生产标准化年度计划表</w:t>
      </w:r>
    </w:p>
    <w:p>
      <w:pPr>
        <w:pStyle w:val="6"/>
        <w:keepNext w:val="0"/>
        <w:keepLines w:val="0"/>
        <w:pageBreakBefore w:val="0"/>
        <w:kinsoku/>
        <w:wordWrap/>
        <w:overflowPunct w:val="0"/>
        <w:topLinePunct w:val="0"/>
        <w:autoSpaceDE/>
        <w:autoSpaceDN/>
        <w:bidi w:val="0"/>
        <w:spacing w:after="0" w:afterLines="0" w:line="560" w:lineRule="exact"/>
        <w:ind w:left="0" w:leftChars="0" w:firstLine="1600" w:firstLineChars="500"/>
        <w:textAlignment w:val="auto"/>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pPr>
      <w:r>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t>2.</w:t>
      </w:r>
      <w:r>
        <w:rPr>
          <w:rStyle w:val="10"/>
          <w:rFonts w:hint="eastAsia" w:ascii="仿宋" w:hAnsi="仿宋" w:eastAsia="仿宋" w:cs="仿宋"/>
          <w:i w:val="0"/>
          <w:iCs w:val="0"/>
          <w:caps w:val="0"/>
          <w:color w:val="auto"/>
          <w:spacing w:val="0"/>
          <w:sz w:val="32"/>
          <w:szCs w:val="32"/>
          <w:highlight w:val="none"/>
          <w:u w:val="none"/>
          <w:shd w:val="clear" w:color="auto" w:fill="FFFFFF"/>
        </w:rPr>
        <w:t>企业安全生产标准化</w:t>
      </w:r>
      <w:r>
        <w:rPr>
          <w:rStyle w:val="10"/>
          <w:rFonts w:hint="eastAsia" w:ascii="仿宋" w:hAnsi="仿宋" w:eastAsia="仿宋" w:cs="仿宋"/>
          <w:i w:val="0"/>
          <w:iCs w:val="0"/>
          <w:caps w:val="0"/>
          <w:color w:val="auto"/>
          <w:spacing w:val="0"/>
          <w:sz w:val="32"/>
          <w:szCs w:val="32"/>
          <w:highlight w:val="none"/>
          <w:u w:val="none"/>
          <w:shd w:val="clear" w:color="auto" w:fill="FFFFFF"/>
          <w:lang w:val="en-US" w:eastAsia="zh-CN"/>
        </w:rPr>
        <w:t>自评报告审核意见表</w:t>
      </w: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color w:val="auto"/>
          <w:sz w:val="32"/>
          <w:szCs w:val="32"/>
          <w:highlight w:val="none"/>
          <w:lang w:val="en-US" w:eastAsia="zh-CN"/>
        </w:rPr>
        <w:t xml:space="preserve">      </w:t>
      </w:r>
      <w:bookmarkStart w:id="0" w:name="_GoBack"/>
      <w:bookmarkEnd w:id="0"/>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3.负责现场评审的单位现场评审计划表</w:t>
      </w:r>
    </w:p>
    <w:p>
      <w:pPr>
        <w:pStyle w:val="2"/>
        <w:keepNext w:val="0"/>
        <w:keepLines w:val="0"/>
        <w:pageBreakBefore w:val="0"/>
        <w:numPr>
          <w:ilvl w:val="0"/>
          <w:numId w:val="0"/>
        </w:numPr>
        <w:kinsoku/>
        <w:wordWrap/>
        <w:topLinePunct w:val="0"/>
        <w:autoSpaceDE/>
        <w:autoSpaceDN/>
        <w:bidi w:val="0"/>
        <w:spacing w:after="0" w:afterLines="0" w:line="560" w:lineRule="exact"/>
        <w:ind w:left="1916" w:leftChars="760" w:hanging="320" w:hangingChars="100"/>
        <w:textAlignment w:val="auto"/>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Fonts w:hint="eastAsia" w:ascii="仿宋" w:hAnsi="仿宋" w:eastAsia="仿宋" w:cs="仿宋"/>
          <w:color w:val="auto"/>
          <w:kern w:val="2"/>
          <w:sz w:val="32"/>
          <w:szCs w:val="32"/>
          <w:highlight w:val="none"/>
          <w:lang w:val="en-US" w:eastAsia="zh-CN" w:bidi="ar-SA"/>
        </w:rPr>
        <w:t>4.工贸企业二级安全生产标准化负责现场评审的单位评审技术人员专业能力配备标准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firstLine="1600" w:firstLineChars="500"/>
        <w:jc w:val="both"/>
        <w:textAlignment w:val="auto"/>
        <w:rPr>
          <w:rFonts w:hint="eastAsia" w:ascii="仿宋" w:hAnsi="仿宋" w:eastAsia="仿宋" w:cs="仿宋"/>
          <w:i w:val="0"/>
          <w:iCs w:val="0"/>
          <w:caps w:val="0"/>
          <w:color w:val="auto"/>
          <w:spacing w:val="-6"/>
          <w:sz w:val="32"/>
          <w:szCs w:val="32"/>
          <w:highlight w:val="none"/>
          <w:u w:val="none"/>
          <w:shd w:val="clear" w:color="auto" w:fill="FFFFFF"/>
          <w:lang w:val="en-US" w:eastAsia="zh-CN"/>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5.</w:t>
      </w:r>
      <w:r>
        <w:rPr>
          <w:rFonts w:hint="eastAsia" w:ascii="仿宋" w:hAnsi="仿宋" w:eastAsia="仿宋" w:cs="仿宋"/>
          <w:i w:val="0"/>
          <w:iCs w:val="0"/>
          <w:caps w:val="0"/>
          <w:color w:val="auto"/>
          <w:spacing w:val="-6"/>
          <w:sz w:val="32"/>
          <w:szCs w:val="32"/>
          <w:highlight w:val="none"/>
          <w:u w:val="none"/>
          <w:shd w:val="clear" w:color="auto" w:fill="FFFFFF"/>
        </w:rPr>
        <w:fldChar w:fldCharType="begin"/>
      </w:r>
      <w:r>
        <w:rPr>
          <w:rFonts w:hint="eastAsia" w:ascii="仿宋" w:hAnsi="仿宋" w:eastAsia="仿宋" w:cs="仿宋"/>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仿宋" w:hAnsi="仿宋" w:eastAsia="仿宋" w:cs="仿宋"/>
          <w:i w:val="0"/>
          <w:iCs w:val="0"/>
          <w:caps w:val="0"/>
          <w:color w:val="auto"/>
          <w:spacing w:val="-6"/>
          <w:sz w:val="32"/>
          <w:szCs w:val="32"/>
          <w:highlight w:val="none"/>
          <w:u w:val="none"/>
          <w:shd w:val="clear" w:color="auto" w:fill="FFFFFF"/>
        </w:rPr>
        <w:fldChar w:fldCharType="separate"/>
      </w:r>
      <w:r>
        <w:rPr>
          <w:rStyle w:val="10"/>
          <w:rFonts w:hint="eastAsia" w:ascii="仿宋" w:hAnsi="仿宋" w:eastAsia="仿宋" w:cs="仿宋"/>
          <w:i w:val="0"/>
          <w:iCs w:val="0"/>
          <w:caps w:val="0"/>
          <w:color w:val="auto"/>
          <w:spacing w:val="-6"/>
          <w:sz w:val="32"/>
          <w:szCs w:val="32"/>
          <w:highlight w:val="none"/>
          <w:u w:val="none"/>
          <w:shd w:val="clear" w:color="auto" w:fill="FFFFFF"/>
        </w:rPr>
        <w:t>企业安全生产标准化现场评审报告</w:t>
      </w:r>
      <w:r>
        <w:rPr>
          <w:rFonts w:hint="eastAsia" w:ascii="仿宋" w:hAnsi="仿宋" w:eastAsia="仿宋" w:cs="仿宋"/>
          <w:i w:val="0"/>
          <w:iCs w:val="0"/>
          <w:caps w:val="0"/>
          <w:color w:val="auto"/>
          <w:spacing w:val="-6"/>
          <w:sz w:val="32"/>
          <w:szCs w:val="32"/>
          <w:highlight w:val="none"/>
          <w:u w:val="none"/>
          <w:shd w:val="clear" w:color="auto" w:fill="FFFFFF"/>
        </w:rPr>
        <w:fldChar w:fldCharType="end"/>
      </w:r>
      <w:r>
        <w:rPr>
          <w:rFonts w:hint="eastAsia" w:ascii="仿宋" w:hAnsi="仿宋" w:eastAsia="仿宋" w:cs="仿宋"/>
          <w:i w:val="0"/>
          <w:iCs w:val="0"/>
          <w:caps w:val="0"/>
          <w:color w:val="auto"/>
          <w:spacing w:val="-6"/>
          <w:sz w:val="32"/>
          <w:szCs w:val="32"/>
          <w:highlight w:val="none"/>
          <w:u w:val="none"/>
          <w:shd w:val="clear" w:color="auto" w:fill="FFFFFF"/>
          <w:lang w:val="en-US" w:eastAsia="zh-CN"/>
        </w:rPr>
        <w:t>审查意见书</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10"/>
          <w:rFonts w:hint="eastAsia" w:ascii="仿宋" w:hAnsi="仿宋" w:eastAsia="仿宋" w:cs="仿宋"/>
          <w:i w:val="0"/>
          <w:iCs w:val="0"/>
          <w:caps w:val="0"/>
          <w:color w:val="auto"/>
          <w:spacing w:val="-6"/>
          <w:sz w:val="32"/>
          <w:szCs w:val="32"/>
          <w:highlight w:val="none"/>
          <w:u w:val="none"/>
          <w:shd w:val="clear" w:color="auto" w:fill="FFFFFF"/>
          <w:lang w:eastAsia="zh-CN"/>
        </w:rPr>
      </w:pPr>
      <w:r>
        <w:rPr>
          <w:rFonts w:hint="eastAsia" w:ascii="仿宋" w:hAnsi="仿宋" w:eastAsia="仿宋" w:cs="仿宋"/>
          <w:i w:val="0"/>
          <w:iCs w:val="0"/>
          <w:caps w:val="0"/>
          <w:color w:val="auto"/>
          <w:spacing w:val="-6"/>
          <w:sz w:val="32"/>
          <w:szCs w:val="32"/>
          <w:highlight w:val="none"/>
          <w:u w:val="none"/>
          <w:shd w:val="clear" w:color="auto" w:fill="FFFFFF"/>
          <w:lang w:val="en-US" w:eastAsia="zh-CN"/>
        </w:rPr>
        <w:t xml:space="preserve">     </w:t>
      </w:r>
    </w:p>
    <w:p>
      <w:pPr>
        <w:pStyle w:val="2"/>
        <w:keepNext w:val="0"/>
        <w:keepLines w:val="0"/>
        <w:pageBreakBefore w:val="0"/>
        <w:kinsoku/>
        <w:wordWrap/>
        <w:topLinePunct w:val="0"/>
        <w:autoSpaceDE/>
        <w:autoSpaceDN/>
        <w:bidi w:val="0"/>
        <w:spacing w:after="0" w:afterLines="0" w:line="560" w:lineRule="exact"/>
        <w:ind w:firstLine="616" w:firstLineChars="200"/>
        <w:textAlignment w:val="auto"/>
        <w:rPr>
          <w:rStyle w:val="10"/>
          <w:rFonts w:hint="eastAsia" w:ascii="仿宋" w:hAnsi="仿宋" w:eastAsia="仿宋" w:cs="仿宋"/>
          <w:i w:val="0"/>
          <w:iCs w:val="0"/>
          <w:caps w:val="0"/>
          <w:color w:val="auto"/>
          <w:spacing w:val="-6"/>
          <w:sz w:val="32"/>
          <w:szCs w:val="32"/>
          <w:highlight w:val="none"/>
          <w:u w:val="none"/>
          <w:shd w:val="clear" w:color="auto" w:fill="FFFFFF"/>
          <w:lang w:val="en-US" w:eastAsia="zh-CN"/>
        </w:rPr>
      </w:pPr>
    </w:p>
    <w:p>
      <w:pPr>
        <w:pStyle w:val="2"/>
        <w:keepNext w:val="0"/>
        <w:keepLines w:val="0"/>
        <w:pageBreakBefore w:val="0"/>
        <w:numPr>
          <w:ilvl w:val="0"/>
          <w:numId w:val="0"/>
        </w:numPr>
        <w:kinsoku/>
        <w:wordWrap/>
        <w:topLinePunct w:val="0"/>
        <w:autoSpaceDE/>
        <w:autoSpaceDN/>
        <w:bidi w:val="0"/>
        <w:spacing w:after="0" w:afterLines="0" w:line="560" w:lineRule="exact"/>
        <w:ind w:firstLine="640" w:firstLineChars="200"/>
        <w:textAlignment w:val="auto"/>
        <w:rPr>
          <w:rStyle w:val="10"/>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p>
    <w:p>
      <w:pPr>
        <w:pStyle w:val="6"/>
        <w:keepNext w:val="0"/>
        <w:keepLines w:val="0"/>
        <w:pageBreakBefore w:val="0"/>
        <w:kinsoku/>
        <w:wordWrap/>
        <w:overflowPunct w:val="0"/>
        <w:topLinePunct w:val="0"/>
        <w:autoSpaceDE/>
        <w:autoSpaceDN/>
        <w:bidi w:val="0"/>
        <w:spacing w:after="0" w:line="560" w:lineRule="exact"/>
        <w:ind w:left="0" w:leftChars="0" w:firstLine="640" w:firstLineChars="200"/>
        <w:textAlignment w:val="auto"/>
        <w:rPr>
          <w:rStyle w:val="10"/>
          <w:rFonts w:hint="default"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 xml:space="preserve">   </w:t>
      </w:r>
    </w:p>
    <w:p>
      <w:pPr>
        <w:pStyle w:val="2"/>
        <w:keepNext w:val="0"/>
        <w:keepLines w:val="0"/>
        <w:pageBreakBefore w:val="0"/>
        <w:kinsoku/>
        <w:wordWrap/>
        <w:topLinePunct w:val="0"/>
        <w:autoSpaceDE/>
        <w:autoSpaceDN/>
        <w:bidi w:val="0"/>
        <w:spacing w:after="0" w:afterLines="0" w:line="560" w:lineRule="exact"/>
        <w:ind w:firstLine="560" w:firstLineChars="200"/>
        <w:jc w:val="both"/>
        <w:textAlignment w:val="auto"/>
        <w:rPr>
          <w:rFonts w:hint="default" w:ascii="宋体" w:hAnsi="宋体" w:eastAsia="宋体" w:cs="宋体"/>
          <w:color w:val="000000"/>
          <w:kern w:val="2"/>
          <w:sz w:val="28"/>
          <w:szCs w:val="28"/>
          <w:lang w:val="en-US" w:eastAsia="zh-CN" w:bidi="ar-SA"/>
        </w:rPr>
      </w:pPr>
    </w:p>
    <w:p>
      <w:pPr>
        <w:pStyle w:val="2"/>
        <w:keepNext w:val="0"/>
        <w:keepLines w:val="0"/>
        <w:pageBreakBefore w:val="0"/>
        <w:kinsoku/>
        <w:wordWrap/>
        <w:topLinePunct w:val="0"/>
        <w:autoSpaceDE/>
        <w:autoSpaceDN/>
        <w:bidi w:val="0"/>
        <w:spacing w:after="0" w:afterLines="0" w:line="560" w:lineRule="exact"/>
        <w:ind w:firstLine="560" w:firstLineChars="200"/>
        <w:textAlignment w:val="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p>
    <w:p>
      <w:pPr>
        <w:keepNext w:val="0"/>
        <w:keepLines w:val="0"/>
        <w:pageBreakBefore w:val="0"/>
        <w:kinsoku/>
        <w:wordWrap/>
        <w:topLinePunct w:val="0"/>
        <w:autoSpaceDE/>
        <w:autoSpaceDN/>
        <w:bidi w:val="0"/>
        <w:spacing w:line="560" w:lineRule="exact"/>
        <w:ind w:firstLine="560" w:firstLineChars="200"/>
        <w:jc w:val="left"/>
        <w:textAlignment w:val="auto"/>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宋体" w:hAnsi="宋体" w:eastAsia="宋体" w:cs="宋体"/>
          <w:color w:val="000000"/>
          <w:sz w:val="28"/>
          <w:szCs w:val="28"/>
          <w:lang w:val="en-US" w:eastAsia="zh-CN"/>
        </w:rPr>
      </w:pPr>
    </w:p>
    <w:p>
      <w:pPr>
        <w:pStyle w:val="2"/>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pPr>
        <w:pStyle w:val="2"/>
        <w:jc w:val="cente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企业意向建设安全生产标准化年度计划表</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拟申报时间</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企业安全生产标准化建设基本情况介绍</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企业名称（盖章）：</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p>
        </w:tc>
      </w:tr>
    </w:tbl>
    <w:p>
      <w:pPr>
        <w:pStyle w:val="2"/>
        <w:rPr>
          <w:rFonts w:hint="default" w:ascii="仿宋" w:hAnsi="仿宋" w:eastAsia="仿宋" w:cs="仿宋"/>
          <w:color w:val="auto"/>
          <w:kern w:val="2"/>
          <w:sz w:val="32"/>
          <w:szCs w:val="32"/>
          <w:highlight w:val="none"/>
          <w:lang w:val="en-US" w:eastAsia="zh-CN" w:bidi="ar-SA"/>
        </w:rPr>
      </w:pPr>
    </w:p>
    <w:p>
      <w:pPr>
        <w:pStyle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附件2</w:t>
      </w:r>
    </w:p>
    <w:p>
      <w:pPr>
        <w:pStyle w:val="2"/>
        <w:jc w:val="center"/>
        <w:rPr>
          <w:rStyle w:val="10"/>
          <w:rFonts w:hint="eastAsia" w:ascii="黑体" w:hAnsi="黑体" w:eastAsia="黑体" w:cs="黑体"/>
          <w:i w:val="0"/>
          <w:iCs w:val="0"/>
          <w:caps w:val="0"/>
          <w:color w:val="auto"/>
          <w:spacing w:val="0"/>
          <w:sz w:val="32"/>
          <w:szCs w:val="32"/>
          <w:highlight w:val="none"/>
          <w:u w:val="none"/>
          <w:shd w:val="clear" w:color="auto" w:fill="FFFFFF"/>
          <w:lang w:val="en-US" w:eastAsia="zh-CN"/>
        </w:rPr>
      </w:pPr>
      <w:r>
        <w:rPr>
          <w:rStyle w:val="10"/>
          <w:rFonts w:hint="eastAsia" w:ascii="黑体" w:hAnsi="黑体" w:eastAsia="黑体" w:cs="黑体"/>
          <w:i w:val="0"/>
          <w:iCs w:val="0"/>
          <w:caps w:val="0"/>
          <w:color w:val="auto"/>
          <w:spacing w:val="0"/>
          <w:sz w:val="32"/>
          <w:szCs w:val="32"/>
          <w:highlight w:val="none"/>
          <w:u w:val="none"/>
          <w:shd w:val="clear" w:color="auto" w:fill="FFFFFF"/>
        </w:rPr>
        <w:t>企业安全生产标准化</w:t>
      </w:r>
      <w:r>
        <w:rPr>
          <w:rStyle w:val="10"/>
          <w:rFonts w:hint="eastAsia" w:ascii="黑体" w:hAnsi="黑体" w:eastAsia="黑体" w:cs="黑体"/>
          <w:i w:val="0"/>
          <w:iCs w:val="0"/>
          <w:caps w:val="0"/>
          <w:color w:val="auto"/>
          <w:spacing w:val="0"/>
          <w:sz w:val="32"/>
          <w:szCs w:val="32"/>
          <w:highlight w:val="none"/>
          <w:u w:val="none"/>
          <w:shd w:val="clear" w:color="auto" w:fill="FFFFFF"/>
          <w:lang w:val="en-US" w:eastAsia="zh-CN"/>
        </w:rPr>
        <w:t>自评报告审核意见表</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57"/>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r>
              <w:rPr>
                <w:rFonts w:hint="eastAsia" w:ascii="宋体" w:hAnsi="宋体" w:eastAsia="宋体" w:cs="宋体"/>
                <w:b w:val="0"/>
                <w:bCs w:val="0"/>
                <w:color w:val="auto"/>
                <w:sz w:val="24"/>
                <w:szCs w:val="24"/>
                <w:highlight w:val="none"/>
                <w:lang w:eastAsia="zh-CN"/>
              </w:rPr>
              <w:t>）</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企业地址</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自评等级（分数）</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5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定级组织单位审核</w:t>
            </w:r>
            <w:r>
              <w:rPr>
                <w:rFonts w:hint="eastAsia" w:ascii="宋体" w:hAnsi="宋体" w:eastAsia="宋体" w:cs="宋体"/>
                <w:b w:val="0"/>
                <w:bCs w:val="0"/>
                <w:color w:val="auto"/>
                <w:sz w:val="24"/>
                <w:szCs w:val="24"/>
                <w:highlight w:val="none"/>
              </w:rPr>
              <w:t>意见</w:t>
            </w:r>
          </w:p>
        </w:tc>
        <w:tc>
          <w:tcPr>
            <w:tcW w:w="683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6"/>
              <w:keepNext w:val="0"/>
              <w:keepLines w:val="0"/>
              <w:pageBreakBefore w:val="0"/>
              <w:kinsoku/>
              <w:overflowPunct/>
              <w:topLinePunct w:val="0"/>
              <w:autoSpaceDE/>
              <w:autoSpaceDN/>
              <w:bidi w:val="0"/>
              <w:spacing w:after="0"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定级部门确认</w:t>
            </w:r>
          </w:p>
        </w:tc>
        <w:tc>
          <w:tcPr>
            <w:tcW w:w="6832" w:type="dxa"/>
            <w:gridSpan w:val="3"/>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highlight w:val="none"/>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rPr>
            </w:pPr>
          </w:p>
        </w:tc>
      </w:tr>
    </w:tbl>
    <w:p>
      <w:pPr>
        <w:pStyle w:val="2"/>
        <w:jc w:val="center"/>
        <w:rPr>
          <w:rFonts w:hint="default" w:ascii="仿宋" w:hAnsi="仿宋" w:eastAsia="仿宋" w:cs="仿宋"/>
          <w:color w:val="auto"/>
          <w:kern w:val="2"/>
          <w:sz w:val="32"/>
          <w:szCs w:val="32"/>
          <w:highlight w:val="none"/>
          <w:lang w:val="en-US" w:eastAsia="zh-CN" w:bidi="ar-SA"/>
        </w:rPr>
      </w:pPr>
    </w:p>
    <w:p>
      <w:pPr>
        <w:pStyle w:val="2"/>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附件3：</w:t>
      </w:r>
    </w:p>
    <w:p>
      <w:pPr>
        <w:pStyle w:val="2"/>
        <w:jc w:val="center"/>
        <w:rPr>
          <w:rStyle w:val="10"/>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pPr>
      <w:r>
        <w:rPr>
          <w:rStyle w:val="10"/>
          <w:rFonts w:hint="eastAsia" w:ascii="黑体" w:hAnsi="黑体" w:eastAsia="黑体" w:cs="黑体"/>
          <w:i w:val="0"/>
          <w:iCs w:val="0"/>
          <w:caps w:val="0"/>
          <w:color w:val="auto"/>
          <w:spacing w:val="0"/>
          <w:kern w:val="2"/>
          <w:sz w:val="32"/>
          <w:szCs w:val="32"/>
          <w:highlight w:val="none"/>
          <w:u w:val="none"/>
          <w:shd w:val="clear" w:color="auto" w:fill="FFFFFF"/>
          <w:lang w:val="en-US" w:eastAsia="zh-CN" w:bidi="ar-SA"/>
        </w:rPr>
        <w:t>负责现场评审的单位现场评审计划表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45"/>
        <w:gridCol w:w="745"/>
        <w:gridCol w:w="336"/>
        <w:gridCol w:w="153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负责现场评审的单位</w:t>
            </w:r>
          </w:p>
        </w:tc>
        <w:tc>
          <w:tcPr>
            <w:tcW w:w="6657" w:type="dxa"/>
            <w:gridSpan w:val="5"/>
            <w:vAlign w:val="center"/>
          </w:tcPr>
          <w:p>
            <w:pPr>
              <w:pStyle w:val="2"/>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pStyle w:val="2"/>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企业名称</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spacing w:line="300" w:lineRule="auto"/>
              <w:jc w:val="center"/>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申请定级等级</w:t>
            </w:r>
          </w:p>
        </w:tc>
        <w:tc>
          <w:tcPr>
            <w:tcW w:w="6657" w:type="dxa"/>
            <w:gridSpan w:val="5"/>
            <w:vAlign w:val="center"/>
          </w:tcPr>
          <w:p>
            <w:pPr>
              <w:spacing w:line="300" w:lineRule="auto"/>
              <w:jc w:val="center"/>
              <w:rPr>
                <w:rStyle w:val="9"/>
                <w:rFonts w:hint="eastAsia" w:ascii="宋体" w:hAnsi="宋体" w:eastAsiaTheme="minorEastAsia" w:cstheme="minorBidi"/>
                <w:i w:val="0"/>
                <w:iCs w:val="0"/>
                <w:caps w:val="0"/>
                <w:color w:val="auto"/>
                <w:spacing w:val="0"/>
                <w:kern w:val="2"/>
                <w:sz w:val="24"/>
                <w:szCs w:val="24"/>
                <w:highlight w:val="none"/>
                <w:u w:val="none"/>
                <w:shd w:val="clear" w:color="auto" w:fill="FFFFFF"/>
                <w:vertAlign w:val="baseline"/>
                <w:lang w:val="en-US" w:eastAsia="zh-CN" w:bidi="ar-SA"/>
              </w:rPr>
            </w:pPr>
            <w:r>
              <w:rPr>
                <w:rFonts w:hint="eastAsia" w:ascii="宋体" w:hAnsi="宋体" w:eastAsiaTheme="minorEastAsia" w:cstheme="minorBidi"/>
                <w:color w:val="auto"/>
                <w:kern w:val="2"/>
                <w:sz w:val="24"/>
                <w:szCs w:val="24"/>
                <w:highlight w:val="none"/>
                <w:lang w:val="en-US" w:eastAsia="zh-CN" w:bidi="ar-SA"/>
              </w:rPr>
              <w:t>工贸企业二级安全生产标准化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65" w:type="dxa"/>
            <w:vAlign w:val="center"/>
          </w:tcPr>
          <w:p>
            <w:pPr>
              <w:spacing w:line="300" w:lineRule="auto"/>
              <w:jc w:val="center"/>
              <w:rPr>
                <w:rFonts w:hint="eastAsia" w:ascii="宋体" w:hAnsi="宋体" w:eastAsia="宋体" w:cs="Times New Roman"/>
                <w:kern w:val="2"/>
                <w:sz w:val="24"/>
                <w:szCs w:val="24"/>
                <w:lang w:val="en-US" w:eastAsia="zh-CN" w:bidi="ar-SA"/>
              </w:rPr>
            </w:pPr>
            <w:r>
              <w:rPr>
                <w:rFonts w:hAnsi="宋体"/>
                <w:sz w:val="24"/>
                <w:szCs w:val="24"/>
              </w:rPr>
              <w:t>评审类别</w:t>
            </w:r>
          </w:p>
        </w:tc>
        <w:tc>
          <w:tcPr>
            <w:tcW w:w="6657" w:type="dxa"/>
            <w:gridSpan w:val="5"/>
            <w:vAlign w:val="center"/>
          </w:tcPr>
          <w:p>
            <w:pPr>
              <w:spacing w:line="300" w:lineRule="auto"/>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Fonts w:ascii="宋体" w:hAnsi="宋体"/>
                <w:sz w:val="24"/>
                <w:szCs w:val="24"/>
              </w:rPr>
              <w:t>□首次评审  □</w:t>
            </w:r>
            <w:r>
              <w:rPr>
                <w:rFonts w:hint="eastAsia" w:ascii="宋体" w:hAnsi="宋体"/>
                <w:sz w:val="24"/>
                <w:szCs w:val="24"/>
                <w:lang w:eastAsia="zh-CN"/>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现场评审时间</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评审依据</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评审方式</w:t>
            </w:r>
          </w:p>
        </w:tc>
        <w:tc>
          <w:tcPr>
            <w:tcW w:w="6657" w:type="dxa"/>
            <w:gridSpan w:val="5"/>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restart"/>
            <w:vAlign w:val="center"/>
          </w:tcPr>
          <w:p>
            <w:pPr>
              <w:pStyle w:val="2"/>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评审组人员</w:t>
            </w: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姓名</w:t>
            </w: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职别</w:t>
            </w: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专业能力</w:t>
            </w:r>
          </w:p>
        </w:tc>
        <w:tc>
          <w:tcPr>
            <w:tcW w:w="2800" w:type="dxa"/>
            <w:vAlign w:val="center"/>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负责评审的工作内容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Merge w:val="continue"/>
            <w:vAlign w:val="bottom"/>
          </w:tcPr>
          <w:p>
            <w:pPr>
              <w:pStyle w:val="2"/>
              <w:jc w:val="center"/>
              <w:rPr>
                <w:rFonts w:hint="eastAsia" w:ascii="宋体" w:hAnsi="宋体" w:eastAsia="宋体" w:cs="Times New Roman"/>
                <w:kern w:val="2"/>
                <w:sz w:val="24"/>
                <w:szCs w:val="24"/>
                <w:lang w:val="en-US" w:eastAsia="zh-CN" w:bidi="ar-SA"/>
              </w:rPr>
            </w:pPr>
          </w:p>
        </w:tc>
        <w:tc>
          <w:tcPr>
            <w:tcW w:w="1245"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081" w:type="dxa"/>
            <w:gridSpan w:val="2"/>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531"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2800" w:type="dxa"/>
            <w:vAlign w:val="center"/>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6"/>
            <w:vAlign w:val="bottom"/>
          </w:tcPr>
          <w:p>
            <w:pPr>
              <w:pStyle w:val="2"/>
              <w:jc w:val="center"/>
              <w:rPr>
                <w:rStyle w:val="10"/>
                <w:rFonts w:hint="eastAsia" w:asciiTheme="minorEastAsia" w:hAnsiTheme="minorEastAsia" w:eastAsia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日期</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时间</w:t>
            </w: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评审工作内容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4667" w:type="dxa"/>
            <w:gridSpan w:val="3"/>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企业联系人</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负责现场评审的单位联系人</w:t>
            </w:r>
          </w:p>
        </w:tc>
        <w:tc>
          <w:tcPr>
            <w:tcW w:w="1990"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c>
          <w:tcPr>
            <w:tcW w:w="1867" w:type="dxa"/>
            <w:gridSpan w:val="2"/>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联系电话</w:t>
            </w:r>
          </w:p>
        </w:tc>
        <w:tc>
          <w:tcPr>
            <w:tcW w:w="2800" w:type="dxa"/>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22" w:type="dxa"/>
            <w:gridSpan w:val="6"/>
            <w:vAlign w:val="bottom"/>
          </w:tcPr>
          <w:p>
            <w:pPr>
              <w:pStyle w:val="2"/>
              <w:jc w:val="cente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评审组组长（签名）： </w:t>
            </w:r>
          </w:p>
          <w:p>
            <w:pPr>
              <w:pStyle w:val="2"/>
              <w:jc w:val="both"/>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p>
          <w:p>
            <w:pPr>
              <w:pStyle w:val="2"/>
              <w:jc w:val="both"/>
              <w:rPr>
                <w:rStyle w:val="10"/>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负责现场评审的单位（盖章）：</w:t>
            </w:r>
          </w:p>
          <w:p>
            <w:pPr>
              <w:pStyle w:val="2"/>
              <w:jc w:val="center"/>
              <w:rPr>
                <w:rStyle w:val="10"/>
                <w:rFonts w:hint="default"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pPr>
            <w:r>
              <w:rPr>
                <w:rStyle w:val="10"/>
                <w:rFonts w:hint="eastAsia" w:asciiTheme="minorEastAsia" w:hAnsiTheme="minorEastAsia" w:cstheme="minorEastAsia"/>
                <w:i w:val="0"/>
                <w:iCs w:val="0"/>
                <w:caps w:val="0"/>
                <w:color w:val="auto"/>
                <w:spacing w:val="0"/>
                <w:kern w:val="2"/>
                <w:sz w:val="24"/>
                <w:szCs w:val="24"/>
                <w:highlight w:val="none"/>
                <w:u w:val="none"/>
                <w:shd w:val="clear" w:color="auto" w:fill="FFFFFF"/>
                <w:vertAlign w:val="baseline"/>
                <w:lang w:val="en-US" w:eastAsia="zh-CN" w:bidi="ar-SA"/>
              </w:rPr>
              <w:t xml:space="preserve">               年   月   日</w:t>
            </w:r>
          </w:p>
        </w:tc>
      </w:tr>
    </w:tbl>
    <w:p>
      <w:pPr>
        <w:pStyle w:val="2"/>
        <w:jc w:val="both"/>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pPr>
        <w:pStyle w:val="2"/>
        <w:jc w:val="both"/>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附件4</w:t>
      </w:r>
    </w:p>
    <w:p>
      <w:pPr>
        <w:pStyle w:val="5"/>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工贸企业二级安全生产标准化负责现场评审的单位评审技术人员专业能力配备标准</w:t>
      </w:r>
    </w:p>
    <w:p/>
    <w:tbl>
      <w:tblPr>
        <w:tblStyle w:val="8"/>
        <w:tblW w:w="13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878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17"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专业领域</w:t>
            </w:r>
          </w:p>
        </w:tc>
        <w:tc>
          <w:tcPr>
            <w:tcW w:w="1804"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专业能力要求</w:t>
            </w:r>
          </w:p>
        </w:tc>
        <w:tc>
          <w:tcPr>
            <w:tcW w:w="8789"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相关学科基础专业</w:t>
            </w:r>
          </w:p>
        </w:tc>
        <w:tc>
          <w:tcPr>
            <w:tcW w:w="1890"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冶金</w:t>
            </w: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789" w:type="dxa"/>
            <w:vAlign w:val="center"/>
          </w:tcPr>
          <w:p>
            <w:pPr>
              <w:spacing w:line="480" w:lineRule="auto"/>
              <w:jc w:val="left"/>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vertAlign w:val="baseline"/>
              </w:rPr>
            </w:pP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有色</w:t>
            </w:r>
          </w:p>
        </w:tc>
        <w:tc>
          <w:tcPr>
            <w:tcW w:w="1804" w:type="dxa"/>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789" w:type="dxa"/>
            <w:vAlign w:val="center"/>
          </w:tcPr>
          <w:p>
            <w:pPr>
              <w:spacing w:line="480" w:lineRule="auto"/>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hint="eastAsia" w:ascii="仿宋_GB2312" w:hAnsi="仿宋_GB2312" w:eastAsia="仿宋_GB2312" w:cs="仿宋_GB2312"/>
                <w:b/>
                <w:bCs/>
                <w:color w:val="333333"/>
                <w:spacing w:val="8"/>
                <w:sz w:val="21"/>
                <w:szCs w:val="21"/>
                <w:highlight w:val="none"/>
              </w:rPr>
            </w:pP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8789" w:type="dxa"/>
            <w:vAlign w:val="center"/>
          </w:tcPr>
          <w:p>
            <w:pPr>
              <w:widowControl/>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建材</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vertAlign w:val="baseline"/>
                <w:lang w:eastAsia="zh-CN"/>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建材类</w:t>
            </w:r>
          </w:p>
        </w:tc>
        <w:tc>
          <w:tcPr>
            <w:tcW w:w="8789" w:type="dxa"/>
            <w:vAlign w:val="center"/>
          </w:tcPr>
          <w:p>
            <w:pPr>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89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rPr>
              <w:t>机械</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安全类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kern w:val="0"/>
                <w:sz w:val="21"/>
                <w:szCs w:val="21"/>
                <w:highlight w:val="none"/>
              </w:rPr>
              <w:t>工程安全评价与监理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安全工程工业工程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安全防范工程</w:t>
            </w:r>
          </w:p>
        </w:tc>
        <w:tc>
          <w:tcPr>
            <w:tcW w:w="18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评审技术人员的</w:t>
            </w:r>
            <w:r>
              <w:rPr>
                <w:rFonts w:hint="eastAsia" w:ascii="仿宋_GB2312" w:hAnsi="仿宋_GB2312" w:eastAsia="仿宋_GB2312" w:cs="仿宋_GB2312"/>
                <w:sz w:val="21"/>
                <w:szCs w:val="21"/>
                <w:highlight w:val="none"/>
                <w:lang w:val="en-US" w:eastAsia="zh-CN"/>
              </w:rPr>
              <w:t>专业能力要求须为“</w:t>
            </w:r>
            <w:r>
              <w:rPr>
                <w:rFonts w:hint="eastAsia" w:ascii="仿宋_GB2312" w:hAnsi="仿宋_GB2312" w:eastAsia="仿宋_GB2312" w:cs="仿宋_GB2312"/>
                <w:sz w:val="21"/>
                <w:szCs w:val="21"/>
                <w:highlight w:val="none"/>
                <w:lang w:eastAsia="zh-CN"/>
              </w:rPr>
              <w:t>非金属材料类</w:t>
            </w:r>
            <w:r>
              <w:rPr>
                <w:rFonts w:hint="eastAsia" w:ascii="仿宋_GB2312" w:hAnsi="仿宋_GB2312" w:eastAsia="仿宋_GB2312" w:cs="仿宋_GB2312"/>
                <w:sz w:val="21"/>
                <w:szCs w:val="21"/>
                <w:highlight w:val="none"/>
                <w:lang w:val="en-US" w:eastAsia="zh-CN"/>
              </w:rPr>
              <w:t>”、“机械设计制造类”、“机电设备类”和“自动化类”中的3项。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非金属材料类</w:t>
            </w:r>
          </w:p>
        </w:tc>
        <w:tc>
          <w:tcPr>
            <w:tcW w:w="8789" w:type="dxa"/>
            <w:vAlign w:val="center"/>
          </w:tcPr>
          <w:p>
            <w:pPr>
              <w:widowControl/>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光伏材料制备技术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新能源材料与器件</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8789" w:type="dxa"/>
            <w:vAlign w:val="center"/>
          </w:tcPr>
          <w:p>
            <w:pPr>
              <w:widowControl/>
              <w:jc w:val="left"/>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轻工</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sz w:val="21"/>
                <w:szCs w:val="21"/>
                <w:highlight w:val="none"/>
                <w:vertAlign w:val="baseline"/>
              </w:rPr>
            </w:pPr>
            <w:r>
              <w:rPr>
                <w:rFonts w:hint="eastAsia" w:ascii="仿宋_GB2312" w:hAnsi="仿宋_GB2312" w:eastAsia="仿宋_GB2312" w:cs="仿宋_GB2312"/>
                <w:b/>
                <w:bCs/>
                <w:color w:val="000000"/>
                <w:sz w:val="21"/>
                <w:szCs w:val="21"/>
                <w:highlight w:val="none"/>
              </w:rPr>
              <w:t>轻化工类</w:t>
            </w:r>
          </w:p>
        </w:tc>
        <w:tc>
          <w:tcPr>
            <w:tcW w:w="8789" w:type="dxa"/>
            <w:vAlign w:val="center"/>
          </w:tcPr>
          <w:p>
            <w:pPr>
              <w:jc w:val="left"/>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89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纺织</w:t>
            </w: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center"/>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8789" w:type="dxa"/>
            <w:vAlign w:val="center"/>
          </w:tcPr>
          <w:p>
            <w:pPr>
              <w:widowControl/>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烟草</w:t>
            </w: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spacing w:line="360" w:lineRule="exact"/>
              <w:jc w:val="center"/>
              <w:rPr>
                <w:rFonts w:hint="eastAsia" w:ascii="楷体_GB2312" w:hAnsi="宋体" w:eastAsia="楷体_GB2312" w:cstheme="minorBidi"/>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789" w:type="dxa"/>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890" w:type="dxa"/>
            <w:vMerge w:val="continue"/>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vAlign w:val="center"/>
          </w:tcPr>
          <w:p>
            <w:pPr>
              <w:jc w:val="center"/>
              <w:rPr>
                <w:rFonts w:hint="eastAsia" w:ascii="仿宋_GB2312" w:hAnsi="仿宋_GB2312" w:eastAsia="仿宋_GB2312" w:cs="仿宋_GB2312"/>
                <w:b/>
                <w:bCs/>
                <w:kern w:val="2"/>
                <w:sz w:val="21"/>
                <w:szCs w:val="21"/>
                <w:highlight w:val="none"/>
                <w:vertAlign w:val="baseline"/>
                <w:lang w:val="en-US" w:eastAsia="zh-CN" w:bidi="ar-SA"/>
              </w:rPr>
            </w:pPr>
            <w:r>
              <w:rPr>
                <w:rFonts w:hint="eastAsia" w:ascii="仿宋_GB2312" w:hAnsi="仿宋_GB2312" w:eastAsia="仿宋_GB2312" w:cs="仿宋_GB2312"/>
                <w:b/>
                <w:bCs/>
                <w:color w:val="000000"/>
                <w:sz w:val="21"/>
                <w:szCs w:val="21"/>
                <w:highlight w:val="none"/>
              </w:rPr>
              <w:t>农业类</w:t>
            </w:r>
          </w:p>
        </w:tc>
        <w:tc>
          <w:tcPr>
            <w:tcW w:w="8789" w:type="dxa"/>
            <w:vAlign w:val="center"/>
          </w:tcPr>
          <w:p>
            <w:pPr>
              <w:widowControl/>
              <w:jc w:val="left"/>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8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dxa"/>
            <w:vMerge w:val="restart"/>
            <w:vAlign w:val="center"/>
          </w:tcPr>
          <w:p>
            <w:pPr>
              <w:jc w:val="center"/>
              <w:rPr>
                <w:rFonts w:hint="eastAsia" w:ascii="仿宋_GB2312" w:hAnsi="仿宋_GB2312" w:eastAsia="仿宋_GB2312" w:cs="仿宋_GB2312"/>
                <w:b/>
                <w:bCs/>
                <w:color w:val="auto"/>
                <w:sz w:val="21"/>
                <w:szCs w:val="21"/>
                <w:highlight w:val="none"/>
                <w:vertAlign w:val="baseline"/>
              </w:rPr>
            </w:pPr>
            <w:r>
              <w:rPr>
                <w:rFonts w:hint="eastAsia" w:ascii="仿宋_GB2312" w:hAnsi="仿宋_GB2312" w:eastAsia="仿宋_GB2312" w:cs="仿宋_GB2312"/>
                <w:b/>
                <w:bCs/>
                <w:color w:val="auto"/>
                <w:sz w:val="21"/>
                <w:szCs w:val="21"/>
                <w:highlight w:val="none"/>
                <w:lang w:eastAsia="zh-CN"/>
              </w:rPr>
              <w:t>商贸</w:t>
            </w:r>
          </w:p>
        </w:tc>
        <w:tc>
          <w:tcPr>
            <w:tcW w:w="1804" w:type="dxa"/>
            <w:vAlign w:val="center"/>
          </w:tcPr>
          <w:p>
            <w:pPr>
              <w:jc w:val="center"/>
              <w:rPr>
                <w:rFonts w:hint="eastAsia" w:ascii="仿宋_GB2312" w:hAnsi="仿宋_GB2312" w:eastAsia="仿宋_GB2312" w:cs="仿宋_GB2312"/>
                <w:b/>
                <w:bCs/>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安全类</w:t>
            </w:r>
          </w:p>
        </w:tc>
        <w:tc>
          <w:tcPr>
            <w:tcW w:w="8789" w:type="dxa"/>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89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3名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2名人员专业能力要求为“消防类”。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7" w:type="dxa"/>
            <w:vMerge w:val="continue"/>
            <w:vAlign w:val="center"/>
          </w:tcPr>
          <w:p>
            <w:pPr>
              <w:jc w:val="center"/>
              <w:rPr>
                <w:rFonts w:hint="eastAsia" w:ascii="仿宋_GB2312" w:hAnsi="仿宋_GB2312" w:eastAsia="仿宋_GB2312" w:cs="仿宋_GB2312"/>
                <w:b/>
                <w:bCs/>
                <w:sz w:val="21"/>
                <w:szCs w:val="21"/>
                <w:highlight w:val="none"/>
              </w:rPr>
            </w:pPr>
          </w:p>
        </w:tc>
        <w:tc>
          <w:tcPr>
            <w:tcW w:w="1804" w:type="dxa"/>
            <w:vAlign w:val="center"/>
          </w:tcPr>
          <w:p>
            <w:pPr>
              <w:jc w:val="both"/>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 xml:space="preserve">     消防类</w:t>
            </w:r>
          </w:p>
        </w:tc>
        <w:tc>
          <w:tcPr>
            <w:tcW w:w="8789" w:type="dxa"/>
            <w:vAlign w:val="center"/>
          </w:tcPr>
          <w:p>
            <w:pPr>
              <w:jc w:val="left"/>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890" w:type="dxa"/>
            <w:vMerge w:val="continue"/>
            <w:vAlign w:val="center"/>
          </w:tcPr>
          <w:p>
            <w:pPr>
              <w:jc w:val="left"/>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80" w:lineRule="exact"/>
        <w:ind w:left="1202" w:leftChars="190" w:hanging="803" w:hangingChars="4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vertAlign w:val="baseline"/>
          <w:lang w:val="en-US" w:eastAsia="zh-CN"/>
        </w:rPr>
        <w:t>2015年颁布的《</w:t>
      </w:r>
      <w:r>
        <w:rPr>
          <w:rFonts w:hint="eastAsia" w:ascii="仿宋_GB2312" w:hAnsi="仿宋_GB2312" w:eastAsia="仿宋_GB2312" w:cs="仿宋_GB2312"/>
          <w:b/>
          <w:bCs/>
          <w:sz w:val="20"/>
          <w:szCs w:val="20"/>
          <w:highlight w:val="none"/>
          <w:vertAlign w:val="baseline"/>
          <w:lang w:eastAsia="zh-CN"/>
        </w:rPr>
        <w:t>普通高等学校高等</w:t>
      </w:r>
      <w:r>
        <w:rPr>
          <w:rFonts w:hint="eastAsia" w:ascii="仿宋_GB2312" w:hAnsi="仿宋_GB2312" w:eastAsia="仿宋_GB2312" w:cs="仿宋_GB2312"/>
          <w:b/>
          <w:bCs/>
          <w:sz w:val="20"/>
          <w:szCs w:val="20"/>
          <w:highlight w:val="none"/>
          <w:vertAlign w:val="baseline"/>
          <w:lang w:val="en-US" w:eastAsia="zh-CN"/>
        </w:rPr>
        <w:t xml:space="preserve"> </w:t>
      </w:r>
      <w:r>
        <w:rPr>
          <w:rFonts w:hint="eastAsia" w:ascii="仿宋_GB2312" w:hAnsi="仿宋_GB2312" w:eastAsia="仿宋_GB2312" w:cs="仿宋_GB2312"/>
          <w:b/>
          <w:bCs/>
          <w:sz w:val="20"/>
          <w:szCs w:val="20"/>
          <w:highlight w:val="none"/>
          <w:vertAlign w:val="baseline"/>
          <w:lang w:eastAsia="zh-CN"/>
        </w:rPr>
        <w:t>职业教育（专科）专业目录（2015年）</w:t>
      </w:r>
      <w:r>
        <w:rPr>
          <w:rFonts w:hint="eastAsia" w:ascii="仿宋_GB2312" w:hAnsi="仿宋_GB2312" w:eastAsia="仿宋_GB2312" w:cs="仿宋_GB2312"/>
          <w:b/>
          <w:bCs/>
          <w:sz w:val="20"/>
          <w:szCs w:val="20"/>
          <w:highlight w:val="none"/>
          <w:vertAlign w:val="baseline"/>
          <w:lang w:val="en-US" w:eastAsia="zh-CN"/>
        </w:rPr>
        <w:t>》，</w:t>
      </w:r>
      <w:r>
        <w:rPr>
          <w:rFonts w:hint="eastAsia" w:ascii="仿宋_GB2312" w:hAnsi="仿宋_GB2312" w:eastAsia="仿宋_GB2312" w:cs="仿宋_GB2312"/>
          <w:b/>
          <w:bCs/>
          <w:sz w:val="20"/>
          <w:szCs w:val="20"/>
          <w:highlight w:val="none"/>
          <w:vertAlign w:val="baseline"/>
          <w:lang w:eastAsia="zh-CN"/>
        </w:rPr>
        <w:t>经教育部认可的海外学历学位证明、研究生招生专业等可等同参照执行。</w:t>
      </w:r>
    </w:p>
    <w:p>
      <w:pPr>
        <w:keepNext w:val="0"/>
        <w:keepLines w:val="0"/>
        <w:pageBreakBefore w:val="0"/>
        <w:widowControl w:val="0"/>
        <w:kinsoku/>
        <w:wordWrap/>
        <w:overflowPunct/>
        <w:topLinePunct w:val="0"/>
        <w:autoSpaceDE/>
        <w:autoSpaceDN/>
        <w:bidi w:val="0"/>
        <w:adjustRightInd/>
        <w:snapToGrid/>
        <w:spacing w:line="280" w:lineRule="exact"/>
        <w:ind w:firstLine="401"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 xml:space="preserve"> 2</w:t>
      </w:r>
      <w:r>
        <w:rPr>
          <w:rFonts w:hint="eastAsia" w:ascii="仿宋_GB2312" w:hAnsi="仿宋_GB2312" w:eastAsia="仿宋_GB2312" w:cs="仿宋_GB2312"/>
          <w:b/>
          <w:bCs/>
          <w:sz w:val="20"/>
          <w:szCs w:val="20"/>
          <w:highlight w:val="none"/>
          <w:vertAlign w:val="baseline"/>
          <w:lang w:eastAsia="zh-CN"/>
        </w:rPr>
        <w:t>.评审技术人员专业能力可通过普通高等院校学历、学位证书，中级以上专业技术职称或学术专著、科技发明、科技进步奖、发表的论</w:t>
      </w:r>
    </w:p>
    <w:p>
      <w:pPr>
        <w:keepNext w:val="0"/>
        <w:keepLines w:val="0"/>
        <w:pageBreakBefore w:val="0"/>
        <w:widowControl w:val="0"/>
        <w:kinsoku/>
        <w:wordWrap/>
        <w:overflowPunct/>
        <w:topLinePunct w:val="0"/>
        <w:autoSpaceDE/>
        <w:autoSpaceDN/>
        <w:bidi w:val="0"/>
        <w:adjustRightInd/>
        <w:snapToGrid/>
        <w:spacing w:line="280" w:lineRule="exact"/>
        <w:ind w:firstLine="401"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文等予以认定。学术专著指正式出版的原创著作；科技发明应已取得国家发明专利；标准应为现行有效的国家标准、行业标准或地</w:t>
      </w:r>
    </w:p>
    <w:p>
      <w:pPr>
        <w:keepNext w:val="0"/>
        <w:keepLines w:val="0"/>
        <w:pageBreakBefore w:val="0"/>
        <w:widowControl w:val="0"/>
        <w:kinsoku/>
        <w:wordWrap/>
        <w:overflowPunct/>
        <w:topLinePunct w:val="0"/>
        <w:autoSpaceDE/>
        <w:autoSpaceDN/>
        <w:bidi w:val="0"/>
        <w:adjustRightInd/>
        <w:snapToGrid/>
        <w:spacing w:line="280" w:lineRule="exact"/>
        <w:ind w:firstLine="401" w:firstLineChars="200"/>
        <w:jc w:val="left"/>
        <w:textAlignment w:val="auto"/>
        <w:rPr>
          <w:rFonts w:hint="eastAsia" w:ascii="仿宋_GB2312" w:hAnsi="仿宋_GB2312" w:eastAsia="仿宋_GB2312" w:cs="仿宋_GB2312"/>
          <w:b/>
          <w:bCs/>
          <w:sz w:val="20"/>
          <w:szCs w:val="20"/>
          <w:highlight w:val="none"/>
          <w:vertAlign w:val="baseline"/>
          <w:lang w:eastAsia="zh-CN"/>
        </w:rPr>
      </w:pPr>
      <w:r>
        <w:rPr>
          <w:rFonts w:hint="eastAsia" w:ascii="仿宋_GB2312" w:hAnsi="仿宋_GB2312" w:eastAsia="仿宋_GB2312" w:cs="仿宋_GB2312"/>
          <w:b/>
          <w:bCs/>
          <w:sz w:val="20"/>
          <w:szCs w:val="20"/>
          <w:highlight w:val="none"/>
          <w:vertAlign w:val="baseline"/>
          <w:lang w:eastAsia="zh-CN"/>
        </w:rPr>
        <w:t xml:space="preserve">        方标准；科技进步奖为国家或省部级科技进步奖；论文应已在国家级核心期刊上正式发表。</w:t>
      </w:r>
    </w:p>
    <w:p>
      <w:pPr>
        <w:keepNext w:val="0"/>
        <w:keepLines w:val="0"/>
        <w:pageBreakBefore w:val="0"/>
        <w:widowControl w:val="0"/>
        <w:kinsoku/>
        <w:wordWrap/>
        <w:overflowPunct/>
        <w:topLinePunct w:val="0"/>
        <w:autoSpaceDE/>
        <w:autoSpaceDN/>
        <w:bidi w:val="0"/>
        <w:adjustRightInd/>
        <w:snapToGrid/>
        <w:spacing w:line="280" w:lineRule="exact"/>
        <w:ind w:firstLine="401" w:firstLineChars="200"/>
        <w:jc w:val="left"/>
        <w:textAlignment w:val="auto"/>
        <w:rPr>
          <w:rFonts w:hint="eastAsia" w:ascii="仿宋_GB2312" w:hAnsi="仿宋_GB2312" w:eastAsia="仿宋_GB2312" w:cs="仿宋_GB2312"/>
          <w:b/>
          <w:bCs/>
          <w:sz w:val="20"/>
          <w:szCs w:val="20"/>
          <w:highlight w:val="none"/>
          <w:vertAlign w:val="baseline"/>
          <w:lang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20"/>
          <w:szCs w:val="20"/>
          <w:highlight w:val="none"/>
          <w:vertAlign w:val="baseline"/>
          <w:lang w:eastAsia="zh-CN"/>
        </w:rPr>
        <w:t xml:space="preserve">      </w:t>
      </w:r>
      <w:r>
        <w:rPr>
          <w:rFonts w:hint="eastAsia" w:ascii="仿宋_GB2312" w:hAnsi="仿宋_GB2312" w:eastAsia="仿宋_GB2312" w:cs="仿宋_GB2312"/>
          <w:b/>
          <w:bCs/>
          <w:sz w:val="20"/>
          <w:szCs w:val="20"/>
          <w:highlight w:val="none"/>
          <w:vertAlign w:val="baseline"/>
          <w:lang w:val="en-US" w:eastAsia="zh-CN"/>
        </w:rPr>
        <w:t>3</w:t>
      </w:r>
      <w:r>
        <w:rPr>
          <w:rFonts w:hint="eastAsia" w:ascii="仿宋_GB2312" w:hAnsi="仿宋_GB2312" w:eastAsia="仿宋_GB2312" w:cs="仿宋_GB2312"/>
          <w:b/>
          <w:bCs/>
          <w:sz w:val="20"/>
          <w:szCs w:val="20"/>
          <w:highlight w:val="none"/>
          <w:vertAlign w:val="baseline"/>
          <w:lang w:eastAsia="zh-CN"/>
        </w:rPr>
        <w:t>.每名评审技术人员可认定到</w:t>
      </w:r>
      <w:r>
        <w:rPr>
          <w:rFonts w:hint="eastAsia" w:ascii="仿宋_GB2312" w:hAnsi="仿宋_GB2312" w:eastAsia="仿宋_GB2312" w:cs="仿宋_GB2312"/>
          <w:b/>
          <w:bCs/>
          <w:sz w:val="20"/>
          <w:szCs w:val="20"/>
          <w:highlight w:val="none"/>
          <w:vertAlign w:val="baseline"/>
          <w:lang w:val="en-US" w:eastAsia="zh-CN"/>
        </w:rPr>
        <w:t>3个行业，但不能认定到同一行业</w:t>
      </w:r>
      <w:r>
        <w:rPr>
          <w:rFonts w:hint="eastAsia" w:ascii="仿宋_GB2312" w:hAnsi="仿宋_GB2312" w:eastAsia="仿宋_GB2312" w:cs="仿宋_GB2312"/>
          <w:b/>
          <w:bCs/>
          <w:sz w:val="20"/>
          <w:szCs w:val="20"/>
          <w:highlight w:val="none"/>
          <w:vertAlign w:val="baseline"/>
          <w:lang w:eastAsia="zh-CN"/>
        </w:rPr>
        <w:t>。</w:t>
      </w:r>
    </w:p>
    <w:p>
      <w:pPr>
        <w:jc w:val="left"/>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pPr>
      <w:r>
        <w:rPr>
          <w:rStyle w:val="10"/>
          <w:rFonts w:hint="eastAsia" w:ascii="仿宋" w:hAnsi="仿宋" w:eastAsia="仿宋" w:cs="仿宋"/>
          <w:i w:val="0"/>
          <w:iCs w:val="0"/>
          <w:caps w:val="0"/>
          <w:color w:val="auto"/>
          <w:spacing w:val="0"/>
          <w:kern w:val="2"/>
          <w:sz w:val="32"/>
          <w:szCs w:val="32"/>
          <w:highlight w:val="none"/>
          <w:u w:val="none"/>
          <w:shd w:val="clear" w:color="auto" w:fill="FFFFFF"/>
          <w:lang w:val="en-US" w:eastAsia="zh-CN" w:bidi="ar-SA"/>
        </w:rPr>
        <w:t>附件5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1600" w:leftChars="0"/>
        <w:jc w:val="both"/>
        <w:textAlignment w:val="auto"/>
        <w:rPr>
          <w:rFonts w:hint="eastAsia" w:ascii="黑体" w:hAnsi="黑体" w:eastAsia="黑体" w:cs="黑体"/>
          <w:i w:val="0"/>
          <w:iCs w:val="0"/>
          <w:caps w:val="0"/>
          <w:color w:val="auto"/>
          <w:spacing w:val="-6"/>
          <w:sz w:val="32"/>
          <w:szCs w:val="32"/>
          <w:highlight w:val="none"/>
          <w:u w:val="none"/>
          <w:shd w:val="clear" w:color="auto" w:fill="FFFFFF"/>
          <w:lang w:val="en-US" w:eastAsia="zh-CN"/>
        </w:rPr>
      </w:pPr>
      <w:r>
        <w:rPr>
          <w:rFonts w:hint="eastAsia" w:ascii="黑体" w:hAnsi="黑体" w:eastAsia="黑体" w:cs="黑体"/>
          <w:i w:val="0"/>
          <w:iCs w:val="0"/>
          <w:caps w:val="0"/>
          <w:color w:val="auto"/>
          <w:spacing w:val="-6"/>
          <w:sz w:val="32"/>
          <w:szCs w:val="32"/>
          <w:highlight w:val="none"/>
          <w:u w:val="none"/>
          <w:shd w:val="clear" w:color="auto" w:fill="FFFFFF"/>
        </w:rPr>
        <w:fldChar w:fldCharType="begin"/>
      </w:r>
      <w:r>
        <w:rPr>
          <w:rFonts w:hint="eastAsia" w:ascii="黑体" w:hAnsi="黑体" w:eastAsia="黑体" w:cs="黑体"/>
          <w:i w:val="0"/>
          <w:iCs w:val="0"/>
          <w:caps w:val="0"/>
          <w:color w:val="auto"/>
          <w:spacing w:val="-6"/>
          <w:sz w:val="32"/>
          <w:szCs w:val="32"/>
          <w:highlight w:val="none"/>
          <w:u w:val="none"/>
          <w:shd w:val="clear" w:color="auto" w:fill="FFFFFF"/>
        </w:rPr>
        <w:instrText xml:space="preserve"> HYPERLINK "https://www.mem.gov.cn/gk/zfxxgkpt/fdzdgknr/202111/W020211101559536877178.docx" \t "https://www.china-safety.org.cn/Article/_blank" </w:instrText>
      </w:r>
      <w:r>
        <w:rPr>
          <w:rFonts w:hint="eastAsia" w:ascii="黑体" w:hAnsi="黑体" w:eastAsia="黑体" w:cs="黑体"/>
          <w:i w:val="0"/>
          <w:iCs w:val="0"/>
          <w:caps w:val="0"/>
          <w:color w:val="auto"/>
          <w:spacing w:val="-6"/>
          <w:sz w:val="32"/>
          <w:szCs w:val="32"/>
          <w:highlight w:val="none"/>
          <w:u w:val="none"/>
          <w:shd w:val="clear" w:color="auto" w:fill="FFFFFF"/>
        </w:rPr>
        <w:fldChar w:fldCharType="separate"/>
      </w:r>
      <w:r>
        <w:rPr>
          <w:rStyle w:val="10"/>
          <w:rFonts w:hint="eastAsia" w:ascii="黑体" w:hAnsi="黑体" w:eastAsia="黑体" w:cs="黑体"/>
          <w:i w:val="0"/>
          <w:iCs w:val="0"/>
          <w:caps w:val="0"/>
          <w:color w:val="auto"/>
          <w:spacing w:val="-6"/>
          <w:sz w:val="32"/>
          <w:szCs w:val="32"/>
          <w:highlight w:val="none"/>
          <w:u w:val="none"/>
          <w:shd w:val="clear" w:color="auto" w:fill="FFFFFF"/>
        </w:rPr>
        <w:t>企业安全生产标准化现场评审报告</w:t>
      </w:r>
      <w:r>
        <w:rPr>
          <w:rFonts w:hint="eastAsia" w:ascii="黑体" w:hAnsi="黑体" w:eastAsia="黑体" w:cs="黑体"/>
          <w:i w:val="0"/>
          <w:iCs w:val="0"/>
          <w:caps w:val="0"/>
          <w:color w:val="auto"/>
          <w:spacing w:val="-6"/>
          <w:sz w:val="32"/>
          <w:szCs w:val="32"/>
          <w:highlight w:val="none"/>
          <w:u w:val="none"/>
          <w:shd w:val="clear" w:color="auto" w:fill="FFFFFF"/>
        </w:rPr>
        <w:fldChar w:fldCharType="end"/>
      </w:r>
      <w:r>
        <w:rPr>
          <w:rFonts w:hint="eastAsia" w:ascii="黑体" w:hAnsi="黑体" w:eastAsia="黑体" w:cs="黑体"/>
          <w:i w:val="0"/>
          <w:iCs w:val="0"/>
          <w:caps w:val="0"/>
          <w:color w:val="auto"/>
          <w:spacing w:val="-6"/>
          <w:sz w:val="32"/>
          <w:szCs w:val="32"/>
          <w:highlight w:val="none"/>
          <w:u w:val="none"/>
          <w:shd w:val="clear" w:color="auto" w:fill="FFFFFF"/>
          <w:lang w:val="en-US" w:eastAsia="zh-CN"/>
        </w:rPr>
        <w:t>审查意见书</w:t>
      </w:r>
    </w:p>
    <w:p>
      <w:pPr>
        <w:pStyle w:val="6"/>
        <w:keepNext w:val="0"/>
        <w:keepLines w:val="0"/>
        <w:pageBreakBefore w:val="0"/>
        <w:kinsoku/>
        <w:overflowPunct/>
        <w:topLinePunct w:val="0"/>
        <w:autoSpaceDE/>
        <w:autoSpaceDN/>
        <w:bidi w:val="0"/>
        <w:spacing w:after="0" w:line="580" w:lineRule="exact"/>
        <w:textAlignment w:val="auto"/>
        <w:rPr>
          <w:rFonts w:hint="eastAsia"/>
          <w:color w:val="auto"/>
          <w:highlight w:val="none"/>
          <w:lang w:val="en-US" w:eastAsia="zh-CN"/>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324"/>
        <w:gridCol w:w="20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名称</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申请等级</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申请</w:t>
            </w:r>
            <w:r>
              <w:rPr>
                <w:rFonts w:hint="eastAsia" w:ascii="宋体" w:hAnsi="宋体" w:eastAsia="宋体" w:cs="宋体"/>
                <w:b w:val="0"/>
                <w:bCs w:val="0"/>
                <w:color w:val="auto"/>
                <w:sz w:val="24"/>
                <w:szCs w:val="24"/>
                <w:highlight w:val="none"/>
              </w:rPr>
              <w:t>类型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初评/复评）</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负责现场评审单位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现场评审分数</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是否整改完成</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p>
        </w:tc>
        <w:tc>
          <w:tcPr>
            <w:tcW w:w="33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center"/>
              <w:textAlignment w:val="auto"/>
              <w:rPr>
                <w:rFonts w:hint="eastAsia" w:ascii="宋体" w:hAnsi="宋体" w:eastAsia="宋体" w:cs="宋体"/>
                <w:b w:val="0"/>
                <w:bCs w:val="0"/>
                <w:color w:val="auto"/>
                <w:sz w:val="24"/>
                <w:szCs w:val="24"/>
                <w:highlight w:val="none"/>
                <w:lang w:val="en-US" w:eastAsia="zh-CN"/>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联系人及电话</w:t>
            </w:r>
          </w:p>
        </w:tc>
        <w:tc>
          <w:tcPr>
            <w:tcW w:w="12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定级组织单位</w:t>
            </w:r>
            <w:r>
              <w:rPr>
                <w:rFonts w:hint="eastAsia" w:ascii="宋体" w:hAnsi="宋体" w:eastAsia="宋体" w:cs="宋体"/>
                <w:b w:val="0"/>
                <w:bCs w:val="0"/>
                <w:color w:val="auto"/>
                <w:sz w:val="24"/>
                <w:szCs w:val="24"/>
                <w:highlight w:val="none"/>
              </w:rPr>
              <w:t>审查意见</w:t>
            </w:r>
          </w:p>
        </w:tc>
        <w:tc>
          <w:tcPr>
            <w:tcW w:w="65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580" w:lineRule="exact"/>
              <w:jc w:val="both"/>
              <w:textAlignment w:val="auto"/>
              <w:rPr>
                <w:rFonts w:hint="eastAsia" w:ascii="宋体" w:hAnsi="宋体" w:eastAsia="宋体" w:cs="宋体"/>
                <w:b w:val="0"/>
                <w:bCs w:val="0"/>
                <w:color w:val="auto"/>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定级组织单位（盖章）：</w:t>
            </w:r>
          </w:p>
          <w:p>
            <w:pPr>
              <w:pStyle w:val="6"/>
              <w:keepNext w:val="0"/>
              <w:keepLines w:val="0"/>
              <w:pageBreakBefore w:val="0"/>
              <w:kinsoku/>
              <w:overflowPunct/>
              <w:topLinePunct w:val="0"/>
              <w:autoSpaceDE/>
              <w:autoSpaceDN/>
              <w:bidi w:val="0"/>
              <w:spacing w:after="0" w:line="5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日期：</w:t>
            </w:r>
          </w:p>
        </w:tc>
      </w:tr>
    </w:tbl>
    <w:p>
      <w:pPr>
        <w:pStyle w:val="2"/>
        <w:rPr>
          <w:rFonts w:hint="default"/>
          <w:lang w:val="en-US" w:eastAsia="zh-CN"/>
        </w:rPr>
      </w:pPr>
    </w:p>
    <w:p>
      <w:pPr>
        <w:pStyle w:val="2"/>
        <w:jc w:val="both"/>
        <w:rPr>
          <w:rStyle w:val="10"/>
          <w:rFonts w:hint="default" w:ascii="仿宋" w:hAnsi="仿宋" w:eastAsia="仿宋" w:cs="仿宋"/>
          <w:i w:val="0"/>
          <w:iCs w:val="0"/>
          <w:caps w:val="0"/>
          <w:color w:val="auto"/>
          <w:spacing w:val="-6"/>
          <w:sz w:val="32"/>
          <w:szCs w:val="32"/>
          <w:highlight w:val="none"/>
          <w:u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WNjMzMzZDdlYzllZWNlM2E1YWYyM2M4MDZlOTcifQ=="/>
  </w:docVars>
  <w:rsids>
    <w:rsidRoot w:val="4A1947CF"/>
    <w:rsid w:val="026C097E"/>
    <w:rsid w:val="0E333768"/>
    <w:rsid w:val="1F3F3BDE"/>
    <w:rsid w:val="24E5B980"/>
    <w:rsid w:val="3376C692"/>
    <w:rsid w:val="3F3D5E12"/>
    <w:rsid w:val="3FBBB388"/>
    <w:rsid w:val="3FF3AEA2"/>
    <w:rsid w:val="3FFD838B"/>
    <w:rsid w:val="46FF7793"/>
    <w:rsid w:val="47FF3622"/>
    <w:rsid w:val="4A1947CF"/>
    <w:rsid w:val="4BF83B34"/>
    <w:rsid w:val="4C6F6AAB"/>
    <w:rsid w:val="4E537379"/>
    <w:rsid w:val="4FEBC5FC"/>
    <w:rsid w:val="5AD07917"/>
    <w:rsid w:val="5E7BFB4E"/>
    <w:rsid w:val="5EEE2F04"/>
    <w:rsid w:val="5FFF596D"/>
    <w:rsid w:val="62A535DA"/>
    <w:rsid w:val="6CC326F4"/>
    <w:rsid w:val="6F7D3BEB"/>
    <w:rsid w:val="6F7E14A7"/>
    <w:rsid w:val="6FEC85AE"/>
    <w:rsid w:val="7579E3C3"/>
    <w:rsid w:val="77334DDF"/>
    <w:rsid w:val="77FFCCE1"/>
    <w:rsid w:val="78DE3FEF"/>
    <w:rsid w:val="791F1AC6"/>
    <w:rsid w:val="7B7F9FF9"/>
    <w:rsid w:val="7BEB6031"/>
    <w:rsid w:val="7C17B9D0"/>
    <w:rsid w:val="7C5F9214"/>
    <w:rsid w:val="7CE9B7D6"/>
    <w:rsid w:val="7CEF3A87"/>
    <w:rsid w:val="7D6CEFF4"/>
    <w:rsid w:val="7DBB7E3E"/>
    <w:rsid w:val="7DD647CA"/>
    <w:rsid w:val="7DDF0D5B"/>
    <w:rsid w:val="7E7F8D8E"/>
    <w:rsid w:val="7F0B0A13"/>
    <w:rsid w:val="7FE55D63"/>
    <w:rsid w:val="7FF78737"/>
    <w:rsid w:val="7FFF52F4"/>
    <w:rsid w:val="8B3F6D48"/>
    <w:rsid w:val="8EFE5DE5"/>
    <w:rsid w:val="A7A9084D"/>
    <w:rsid w:val="ABDE3123"/>
    <w:rsid w:val="BF7FCB38"/>
    <w:rsid w:val="BFFF4DF1"/>
    <w:rsid w:val="D25CA1AC"/>
    <w:rsid w:val="D4FD93B9"/>
    <w:rsid w:val="DF6DCFFC"/>
    <w:rsid w:val="DFB4CF00"/>
    <w:rsid w:val="E3FF5820"/>
    <w:rsid w:val="E6FF181D"/>
    <w:rsid w:val="E7EB9C18"/>
    <w:rsid w:val="EB7762E8"/>
    <w:rsid w:val="EB77789D"/>
    <w:rsid w:val="F2AF3F12"/>
    <w:rsid w:val="F3BDAFF0"/>
    <w:rsid w:val="F5F9BB03"/>
    <w:rsid w:val="F7DBEB32"/>
    <w:rsid w:val="F7F08909"/>
    <w:rsid w:val="FA3F3EF9"/>
    <w:rsid w:val="FBEDC884"/>
    <w:rsid w:val="FDFC5412"/>
    <w:rsid w:val="FEFF441B"/>
    <w:rsid w:val="FF8D72DB"/>
    <w:rsid w:val="FFEF76CE"/>
    <w:rsid w:val="FFFDD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8479</Words>
  <Characters>8593</Characters>
  <Lines>0</Lines>
  <Paragraphs>0</Paragraphs>
  <TotalTime>6</TotalTime>
  <ScaleCrop>false</ScaleCrop>
  <LinksUpToDate>false</LinksUpToDate>
  <CharactersWithSpaces>8972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user</cp:lastModifiedBy>
  <dcterms:modified xsi:type="dcterms:W3CDTF">2022-07-22T10:23:56Z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2127469A190448B6B5AFF13A3AA109E2</vt:lpwstr>
  </property>
</Properties>
</file>